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9_edei--DocumentType_c202609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DRAGONFLY ENERGY HOLDINGS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9_edei--EntityFileNumber_c20260930"/>
            <w:bookmarkEnd w:id="6"/>
            <w:r>
              <w:rPr>
                <w:rFonts w:ascii="Times New Roman;Times;Serif" w:hAnsi="Times New Roman;Times;Serif"/>
                <w:b/>
                <w:i w:val="false"/>
                <w:caps w:val="false"/>
                <w:smallCaps w:val="false"/>
                <w:sz w:val="20"/>
              </w:rPr>
              <w:t>001-40730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7_edei--EntityTaxIdentificationNum"/>
            <w:bookmarkEnd w:id="7"/>
            <w:r>
              <w:rPr>
                <w:rFonts w:ascii="Times New Roman;Times;Serif" w:hAnsi="Times New Roman;Times;Serif"/>
                <w:b/>
                <w:i w:val="false"/>
                <w:caps w:val="false"/>
                <w:smallCaps w:val="false"/>
                <w:sz w:val="20"/>
              </w:rPr>
              <w:t>85-1873463</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12915 Old Virginia Road</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2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9" w:name="xdx_905_edei--EntityAddressCityOrTown_c2"/>
            <w:bookmarkEnd w:id="9"/>
            <w:r>
              <w:rPr>
                <w:rFonts w:ascii="Times New Roman;Times;Serif" w:hAnsi="Times New Roman;Times;Serif"/>
                <w:b/>
                <w:i w:val="false"/>
                <w:caps w:val="false"/>
                <w:smallCaps w:val="false"/>
                <w:sz w:val="20"/>
              </w:rPr>
              <w:t xml:space="preserve">Reno, </w:t>
            </w:r>
            <w:bookmarkStart w:id="10" w:name="xdx_903_edei--EntityAddressStateOrProvin"/>
            <w:bookmarkEnd w:id="10"/>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1" w:name="xdx_907_edei--EntityAddressPostalZipCode"/>
            <w:bookmarkEnd w:id="11"/>
            <w:r>
              <w:rPr>
                <w:rFonts w:ascii="Times New Roman;Times;Serif" w:hAnsi="Times New Roman;Times;Serif"/>
                <w:b/>
                <w:i w:val="false"/>
                <w:caps w:val="false"/>
                <w:smallCaps w:val="false"/>
                <w:sz w:val="20"/>
              </w:rPr>
              <w:t>89521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2" w:name="xdx_907_edei--CityAreaCode_c20260930__20"/>
      <w:bookmarkEnd w:id="12"/>
      <w:r>
        <w:rPr>
          <w:rFonts w:ascii="Times New Roman;Times;Serif" w:hAnsi="Times New Roman;Times;Serif"/>
          <w:b/>
          <w:i w:val="false"/>
          <w:caps w:val="false"/>
          <w:smallCaps w:val="false"/>
          <w:sz w:val="20"/>
          <w:u w:val="single"/>
        </w:rPr>
        <w:t xml:space="preserve">(775) </w:t>
      </w:r>
      <w:bookmarkStart w:id="13" w:name="xdx_906_edei--LocalPhoneNumber_c20260930"/>
      <w:bookmarkEnd w:id="13"/>
      <w:r>
        <w:rPr>
          <w:rFonts w:ascii="Times New Roman;Times;Serif" w:hAnsi="Times New Roman;Times;Serif"/>
          <w:b/>
          <w:i w:val="false"/>
          <w:caps w:val="false"/>
          <w:smallCaps w:val="false"/>
          <w:sz w:val="20"/>
          <w:u w:val="single"/>
        </w:rPr>
        <w:t>622-3448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A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A_edei--SolicitingMaterial_c202609"/>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2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1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510" w:type="dxa"/>
        <w:jc w:val="left"/>
        <w:tblInd w:w="0" w:type="dxa"/>
        <w:tblLayout w:type="fixed"/>
        <w:tblCellMar>
          <w:top w:w="0" w:type="dxa"/>
          <w:left w:w="0" w:type="dxa"/>
          <w:bottom w:w="28" w:type="dxa"/>
          <w:right w:w="0" w:type="dxa"/>
        </w:tblCellMar>
      </w:tblPr>
      <w:tblGrid>
        <w:gridCol w:w="4265"/>
        <w:gridCol w:w="60"/>
        <w:gridCol w:w="1535"/>
        <w:gridCol w:w="60"/>
        <w:gridCol w:w="3590"/>
      </w:tblGrid>
      <w:tr>
        <w:trPr/>
        <w:tc>
          <w:tcPr>
            <w:tcW w:w="426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0_edei--Security12bTitle_c20260930"/>
            <w:bookmarkEnd w:id="18"/>
            <w:r>
              <w:rPr>
                <w:rFonts w:ascii="Times New Roman;Times;Serif" w:hAnsi="Times New Roman;Times;Serif"/>
                <w:b w:val="false"/>
                <w:i w:val="false"/>
                <w:caps w:val="false"/>
                <w:smallCaps w:val="false"/>
                <w:sz w:val="20"/>
              </w:rPr>
              <w:t>Common Stock, par value $0.0001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TradingSymbol_c20260930__2"/>
            <w:bookmarkEnd w:id="19"/>
            <w:r>
              <w:rPr>
                <w:rFonts w:ascii="Times New Roman;Times;Serif" w:hAnsi="Times New Roman;Times;Serif"/>
                <w:b w:val="false"/>
                <w:i w:val="false"/>
                <w:caps w:val="false"/>
                <w:smallCaps w:val="false"/>
                <w:sz w:val="20"/>
              </w:rPr>
              <w:t>DFLI</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0" w:name="xdx_907_edei--SecurityExchangeName_c2026"/>
            <w:bookmarkEnd w:id="20"/>
            <w:r>
              <w:rPr>
                <w:rFonts w:ascii="Times New Roman;Times;Serif" w:hAnsi="Times New Roman;Times;Serif"/>
                <w:b w:val="false"/>
                <w:i w:val="false"/>
                <w:caps w:val="false"/>
                <w:smallCaps w:val="false"/>
                <w:sz w:val="20"/>
              </w:rPr>
              <w:t>Nasdaq Capital Market</w:t>
            </w:r>
          </w:p>
        </w:tc>
      </w:tr>
      <w:tr>
        <w:trPr/>
        <w:tc>
          <w:tcPr>
            <w:tcW w:w="42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12bTitle_c20260930"/>
            <w:bookmarkEnd w:id="21"/>
            <w:r>
              <w:rPr>
                <w:rFonts w:ascii="Times New Roman;Times;Serif" w:hAnsi="Times New Roman;Times;Serif"/>
                <w:b w:val="false"/>
                <w:i w:val="false"/>
                <w:caps w:val="false"/>
                <w:smallCaps w:val="false"/>
                <w:sz w:val="20"/>
              </w:rPr>
              <w:t>Redeemable warrants, exercisable for common stock</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TradingSymbol_c20260930__2"/>
            <w:bookmarkEnd w:id="22"/>
            <w:r>
              <w:rPr>
                <w:rFonts w:ascii="Times New Roman;Times;Serif" w:hAnsi="Times New Roman;Times;Serif"/>
                <w:b w:val="false"/>
                <w:i w:val="false"/>
                <w:caps w:val="false"/>
                <w:smallCaps w:val="false"/>
                <w:sz w:val="20"/>
              </w:rPr>
              <w:t>DFLIW</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w:t>
            </w:r>
            <w:bookmarkStart w:id="23" w:name="xdx_90E_edei--SecurityExchangeName_c2026"/>
            <w:bookmarkEnd w:id="23"/>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firstLine="4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3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5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Limited Waiver and Eighth Term Loan Amendment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Dragonfly Energy Holdings Corp. (the “Company”), Dragonfly Energy Corp., a wholly owned subsidiary of the Company (the “Subsidiary”), and Battle Born Battery Products, LLC entered into the Limited Waiver and Eighth Amendment (the “Eighth Amendment”) to the Term Loan, Guarantee and Security Agreement (as amended, the “Term Loan Agreement”) with the lenders (the “Lenders”) and Alter Domus (US) LLC, as agent, with respect to the Company’s senior secured term loan facility (the “Term Loan”). Under the Eighth Amendment: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have waived testing of the minimum liquidity covenant solely for the fiscal month ending September 30, 2026;</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have waived any default under the Term Loan Agreement arising from the deferral of a portion of the cash dividend payable on October 1, 2026 on the Series B Preferred Stock (as defined below), provided that such cash dividend is paid in accordance with the modified payment schedule set forth in the Series B Waiver (as defined below); and</w:t>
            </w:r>
          </w:p>
        </w:tc>
      </w:tr>
    </w:tbl>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Lenders an amendment fee of $450,000, which shall be paid-in-kind by adding such amount to the outstanding principal balance of the Term Loan.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the terms of the Eighth Amendment herein is subject to and qualified in its entirety by the full text of the Eighth Amendment, which is attached as Exhibit 10.1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 B Preferred Stockholder Limited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30, 2026, the Company and the holders of all of the outstanding shares of Series B Convertible Preferred Stock of the Company (the “Series B Preferred Stock”) entered into a limited waiver (the “Series B Waiver”) pursuant to which the holders waived, solely with respect to the dividend for the quarter ending September 30, 2026, their right to receive payment of the full cash dividend on the Series B Preferred Stock on or prior to October 1, 2026. Under the Series B Waiver, the Company is required to pay cash dividends equal to two percent (2%) per annum on or prior to October 1, 2026 and cash dividends equal to six percent (6%) per annum on or prior to October 30, 2026. Payment-in-kind dividends will continue to accrue at a rate of two percent (2%) per annum. So long as the Company complies with the modified payment schedule, such deferral will not constitute a Non-Payment Event or Preferred Default (each as defined in the Certificate of Designation of Rights and Preferences of the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summary of the terms of the Series B Waiver herein is subject to and qualified in its entirety by the full text of the Series B Waiver, which is attached as Exhibit 10.2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above in Item 1.01 with respect to the Eighth Amendment is hereby incorporated by reference into this Item 2.03.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above in Item 1.01 with respect to the Series B Waiver is hereby incorporated by reference into this Item 3.03.</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4"/>
        <w:gridCol w:w="60"/>
        <w:gridCol w:w="9371"/>
      </w:tblGrid>
      <w:tr>
        <w:trPr/>
        <w:tc>
          <w:tcPr>
            <w:tcW w:w="774"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1"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77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1"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Limited Waiver and Eighth Amendment to Term Loan, Guarantee and Security Agreement, dated as of September 30, 2026, by and among the Company, Dragonfly Energy Corp., Battle Born Battery Products, LLC, the lenders from time to time party thereto and Alter Domus (US) LLC.</w:t>
              </w:r>
            </w:hyperlink>
          </w:p>
        </w:tc>
      </w:tr>
      <w:tr>
        <w:trPr/>
        <w:tc>
          <w:tcPr>
            <w:tcW w:w="77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1" w:type="dxa"/>
            <w:tcBorders/>
            <w:tcMar>
              <w:bottom w:w="0" w:type="dxa"/>
            </w:tcMar>
            <w:vAlign w:val="center"/>
          </w:tcPr>
          <w:p>
            <w:pPr>
              <w:pStyle w:val="TableContents"/>
              <w:bidi w:val="0"/>
              <w:spacing w:before="0" w:after="283"/>
              <w:jc w:val="both"/>
              <w:rPr/>
            </w:pPr>
            <w:hyperlink w:anchor="ex10-2.htm">
              <w:r>
                <w:rPr>
                  <w:rStyle w:val="InternetLink"/>
                  <w:rFonts w:ascii="Times New Roman;Times;Serif" w:hAnsi="Times New Roman;Times;Serif"/>
                  <w:b w:val="false"/>
                  <w:i w:val="false"/>
                  <w:caps w:val="false"/>
                  <w:smallCaps w:val="false"/>
                  <w:sz w:val="20"/>
                </w:rPr>
                <w:t>Series B Preferred Stockholder Limited Waiver, dated as of September 30, 2026, by and among the Company and the holders of Series B Convertible Preferred Stock of the Company.</w:t>
              </w:r>
            </w:hyperlink>
          </w:p>
        </w:tc>
      </w:tr>
      <w:tr>
        <w:trPr/>
        <w:tc>
          <w:tcPr>
            <w:tcW w:w="774"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371"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8145" w:type="dxa"/>
        <w:jc w:val="left"/>
        <w:tblInd w:w="0" w:type="dxa"/>
        <w:tblLayout w:type="fixed"/>
        <w:tblCellMar>
          <w:top w:w="0" w:type="dxa"/>
          <w:left w:w="0" w:type="dxa"/>
          <w:bottom w:w="0" w:type="dxa"/>
          <w:right w:w="0" w:type="dxa"/>
        </w:tblCellMar>
      </w:tblPr>
      <w:tblGrid>
        <w:gridCol w:w="1925"/>
        <w:gridCol w:w="545"/>
        <w:gridCol w:w="5675"/>
      </w:tblGrid>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622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56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9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56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56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9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56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Interim Chief Financial Officer and President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right"/>
        <w:rPr>
          <w:caps w:val="false"/>
          <w:smallCaps w:val="false"/>
        </w:rPr>
      </w:pPr>
      <w:bookmarkStart w:id="26" w:name="ex10-1.htm"/>
      <w:bookmarkStart w:id="27" w:name="ksex10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right"/>
        <w:rPr>
          <w:caps w:val="false"/>
          <w:smallCaps w:val="false"/>
        </w:rPr>
      </w:pPr>
      <w:r>
        <w:rPr>
          <w:caps w:val="false"/>
          <w:smallCaps w:val="false"/>
        </w:rPr>
        <w:t> </w:t>
      </w:r>
    </w:p>
    <w:p>
      <w:pPr>
        <w:pStyle w:val="TextBody"/>
        <w:bidi w:val="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LIMITED WAIVER AND EIGHTH AMENDMENT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TERM LOAN, GUARANTEE AND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w:t>
      </w:r>
      <w:r>
        <w:rPr>
          <w:rFonts w:ascii="Times New Roman;Times;Serif" w:hAnsi="Times New Roman;Times;Serif"/>
          <w:b/>
          <w:i w:val="false"/>
          <w:caps w:val="false"/>
          <w:smallCaps w:val="false"/>
          <w:sz w:val="20"/>
        </w:rPr>
        <w:t xml:space="preserve">LIMITED WAIVER AND EIGHTH AMENDMENT TO TERM LOAN, GUARANTEE AND SECURITY AGREEMENT </w:t>
      </w:r>
      <w:r>
        <w:rPr>
          <w:rFonts w:ascii="Times New Roman;Times;Serif" w:hAnsi="Times New Roman;Times;Serif"/>
          <w:b w:val="false"/>
          <w:i w:val="false"/>
          <w:caps w:val="false"/>
          <w:smallCaps w:val="false"/>
          <w:sz w:val="20"/>
        </w:rPr>
        <w:t>(this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made as of September 30, 2026, by and among DRAGONFLY ENERGY CORP.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DRAGONFLY ENERGY HOLDINGS CORP. (F/K/A CHARDAN NEXTECH ACQUISITION 2 CORP.) (“</w:t>
      </w:r>
      <w:r>
        <w:rPr>
          <w:rFonts w:ascii="Times New Roman;Times;Serif" w:hAnsi="Times New Roman;Times;Serif"/>
          <w:b w:val="false"/>
          <w:i w:val="false"/>
          <w:caps w:val="false"/>
          <w:smallCaps w:val="false"/>
          <w:sz w:val="20"/>
          <w:u w:val="single"/>
        </w:rPr>
        <w:t>Holdings</w:t>
      </w:r>
      <w:r>
        <w:rPr>
          <w:rFonts w:ascii="Times New Roman;Times;Serif" w:hAnsi="Times New Roman;Times;Serif"/>
          <w:b w:val="false"/>
          <w:i w:val="false"/>
          <w:caps w:val="false"/>
          <w:smallCaps w:val="false"/>
          <w:sz w:val="20"/>
        </w:rPr>
        <w:t>”), BATTLE BORN BATTERY PRODUCTS, LLC (“</w:t>
      </w:r>
      <w:r>
        <w:rPr>
          <w:rFonts w:ascii="Times New Roman;Times;Serif" w:hAnsi="Times New Roman;Times;Serif"/>
          <w:b w:val="false"/>
          <w:i w:val="false"/>
          <w:caps w:val="false"/>
          <w:smallCaps w:val="false"/>
          <w:sz w:val="20"/>
          <w:u w:val="single"/>
        </w:rPr>
        <w:t>Battle Born</w:t>
      </w:r>
      <w:r>
        <w:rPr>
          <w:rFonts w:ascii="Times New Roman;Times;Serif" w:hAnsi="Times New Roman;Times;Serif"/>
          <w:b w:val="false"/>
          <w:i w:val="false"/>
          <w:caps w:val="false"/>
          <w:smallCaps w:val="false"/>
          <w:sz w:val="20"/>
        </w:rPr>
        <w:t>”, and together with Holdings, each a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Guarantors</w:t>
      </w:r>
      <w:r>
        <w:rPr>
          <w:rFonts w:ascii="Times New Roman;Times;Serif" w:hAnsi="Times New Roman;Times;Serif"/>
          <w:b w:val="false"/>
          <w:i w:val="false"/>
          <w:caps w:val="false"/>
          <w:smallCaps w:val="false"/>
          <w:sz w:val="20"/>
        </w:rPr>
        <w:t>”), the Lenders signatory hereto representing all Lenders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and ALTER DOMUS (US) LLC, as agent on behalf of the Lenders under the Loan Agreement (as hereinafter defined) (in such capacity, the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Borrower, Holdings, the Lenders and the Agent are parties to that certain Term Loan, Guarantee and Security Agreement, dated as of October 7, 2022 (as amended by that certain Limited Waiver and First Amendment to Term Loan, Guarantee and Security Agreement, dated as of June 28, 2024, that certain Limited Waiver, Consent and Second Amendment to Term Loan, Guarantee and Security Agreement, dated as of July 29, 2024, that certain Limited Waiver and Third Amendment to Term Loan, Guarantee and Security Agreement, dated as of September 30, 2024, that certain Limited Waiver and Fourth Amendment to Term Loan, Guarantee and Security Agreement and Temporary, Limited Suspension and Waiver of Warrant Terms, dated as of December 31, 2024, that certain Fifth Amendment to Term Loan, Guarantee and Security Agreement Limited Waiver and Amendment of Warrant Terms, dated as of February 26, 2025, that certain Sixth Amendment to Term Loan, Guarantee and Security Agreement, dated as of October 20, 2025, that certain Seventh Amendment to Term Loan, Guarantee and Security Agreement, dated as of July 31, 2026, and as may be further amended, modified, extended, restated, replaced, and/or supplemented from time to time, the “</w:t>
      </w:r>
      <w:r>
        <w:rPr>
          <w:rFonts w:ascii="Times New Roman;Times;Serif" w:hAnsi="Times New Roman;Times;Serif"/>
          <w:b w:val="false"/>
          <w:i w:val="false"/>
          <w:caps w:val="false"/>
          <w:smallCaps w:val="false"/>
          <w:sz w:val="20"/>
          <w:u w:val="single"/>
        </w:rPr>
        <w:t>Loan Agreement</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Credit Parties have requested that the Agent and the Lenders amend certain provisions of the Loan Agreement and, subject to the satisfaction of the conditions set forth below, each of the Agent and the Lenders is willing to amend the Loan Agreement on the terms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Lenders have agreed to amend certain related provisions in accordance with the terms set forth in Section 3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Credit Parties, the Lenders and the Agent each hereby agree as follows: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All terms used but not otherwise defined herein have the meanings assigned to them in the Loan Agreement.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Limited Waivers</w:t>
            </w:r>
            <w:r>
              <w:rPr>
                <w:rFonts w:ascii="Times New Roman;Times;Serif" w:hAnsi="Times New Roman;Times;Serif"/>
                <w:b w:val="false"/>
                <w:i w:val="false"/>
                <w:caps w:val="false"/>
                <w:smallCaps w:val="false"/>
                <w:sz w:val="20"/>
              </w:rPr>
              <w:t>. Subject to the satisfaction of the conditions to effectiveness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hereof, the Lenders hereby waive testing of the Liquidity covenant set forth in Section 4.2(b) of the Loan Agreement solely for the Fiscal Month ending September 30, 2026. In addition, the Lenders hereby waive any Default or Event of Default under the Loan Agreement that would otherwise arise solely as a result of the Borrower’s failure to pay in full in cash the Cash Dividend payable on October 1, 2026 in respect of the Sixth Amendment Series B Preferred Equity;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a portion of such Cash Dividend equal to two percent (2%) per annum is paid in cash on or prior to October 1, 2026 and (b) the remaining portion of such Cash Dividend equal to six percent (6%) per annum is paid in cash on or prior to October 30, 2026, in each case as set forth in the Series B Preferred Stockholder Limited Waiver (as defined below).</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9"/>
        <w:gridCol w:w="10028"/>
      </w:tblGrid>
      <w:tr>
        <w:trPr/>
        <w:tc>
          <w:tcPr>
            <w:tcW w:w="38"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1002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Amendment Fee</w:t>
            </w:r>
            <w:r>
              <w:rPr>
                <w:rFonts w:ascii="Times New Roman;Times;Serif" w:hAnsi="Times New Roman;Times;Serif"/>
                <w:b w:val="false"/>
                <w:i w:val="false"/>
                <w:caps w:val="false"/>
                <w:smallCaps w:val="false"/>
                <w:sz w:val="20"/>
              </w:rPr>
              <w:t>. In consideration of the limited waiver set forth herein, the Borrower shall pay to the Lenders an amendment fee in the aggregate amount of $450,000 (the “</w:t>
            </w:r>
            <w:r>
              <w:rPr>
                <w:rFonts w:ascii="Times New Roman;Times;Serif" w:hAnsi="Times New Roman;Times;Serif"/>
                <w:b w:val="false"/>
                <w:i w:val="false"/>
                <w:caps w:val="false"/>
                <w:smallCaps w:val="false"/>
                <w:sz w:val="20"/>
                <w:u w:val="single"/>
              </w:rPr>
              <w:t>Amendment Fee</w:t>
            </w:r>
            <w:r>
              <w:rPr>
                <w:rFonts w:ascii="Times New Roman;Times;Serif" w:hAnsi="Times New Roman;Times;Serif"/>
                <w:b w:val="false"/>
                <w:i w:val="false"/>
                <w:caps w:val="false"/>
                <w:smallCaps w:val="false"/>
                <w:sz w:val="20"/>
              </w:rPr>
              <w:t>”). The Amendment Fee shall be paid-in-kind by adding such amount to the outstanding principal balance of the Loan on the Eighth Amendment Effective Date.</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Conditions to Effectiveness</w:t>
            </w:r>
            <w:r>
              <w:rPr>
                <w:rFonts w:ascii="Times New Roman;Times;Serif" w:hAnsi="Times New Roman;Times;Serif"/>
                <w:b w:val="false"/>
                <w:i w:val="false"/>
                <w:caps w:val="false"/>
                <w:smallCaps w:val="false"/>
                <w:sz w:val="20"/>
              </w:rPr>
              <w:t>. This Amendment shall become effective as of the date first written above (the “</w:t>
            </w:r>
            <w:r>
              <w:rPr>
                <w:rFonts w:ascii="Times New Roman;Times;Serif" w:hAnsi="Times New Roman;Times;Serif"/>
                <w:b w:val="false"/>
                <w:i w:val="false"/>
                <w:caps w:val="false"/>
                <w:smallCaps w:val="false"/>
                <w:sz w:val="20"/>
                <w:u w:val="single"/>
              </w:rPr>
              <w:t>Eighth Amendment Effective Date</w:t>
            </w:r>
            <w:r>
              <w:rPr>
                <w:rFonts w:ascii="Times New Roman;Times;Serif" w:hAnsi="Times New Roman;Times;Serif"/>
                <w:b w:val="false"/>
                <w:i w:val="false"/>
                <w:caps w:val="false"/>
                <w:smallCaps w:val="false"/>
                <w:sz w:val="20"/>
              </w:rPr>
              <w:t>”) upon the satisfaction of the below:</w:t>
            </w:r>
          </w:p>
        </w:tc>
      </w:tr>
    </w:tbl>
    <w:p>
      <w:pPr>
        <w:pStyle w:val="TextBody"/>
        <w:bidi w:val="0"/>
        <w:spacing w:before="0" w:after="0"/>
        <w:ind w:left="720" w:right="0" w:hanging="0"/>
        <w:jc w:val="left"/>
        <w:rPr>
          <w:caps w:val="false"/>
          <w:smallCaps w:val="false"/>
        </w:rPr>
      </w:pPr>
      <w:r>
        <w:rPr>
          <w:caps w:val="false"/>
          <w:smallCaps w:val="false"/>
        </w:rPr>
        <w:t> </w:t>
      </w:r>
    </w:p>
    <w:tbl>
      <w:tblPr>
        <w:tblW w:w="10158" w:type="dxa"/>
        <w:jc w:val="left"/>
        <w:tblInd w:w="0" w:type="dxa"/>
        <w:tblLayout w:type="fixed"/>
        <w:tblCellMar>
          <w:top w:w="0" w:type="dxa"/>
          <w:left w:w="0" w:type="dxa"/>
          <w:bottom w:w="0" w:type="dxa"/>
          <w:right w:w="0" w:type="dxa"/>
        </w:tblCellMar>
      </w:tblPr>
      <w:tblGrid>
        <w:gridCol w:w="38"/>
        <w:gridCol w:w="275"/>
        <w:gridCol w:w="9845"/>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98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counterparts of this Amendment shall have been executed and delivered by the Credit Parties, the Agent and the Lenders;</w:t>
            </w:r>
          </w:p>
        </w:tc>
      </w:tr>
    </w:tbl>
    <w:p>
      <w:pPr>
        <w:pStyle w:val="TextBody"/>
        <w:bidi w:val="0"/>
        <w:spacing w:before="0" w:after="0"/>
        <w:ind w:left="153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B Preferred Stockholder Limited Waiver, dated as of September 30, 2026, among the Company and the holders of Series B Convertible Preferred Stock of the Company party thereto (the “</w:t>
            </w:r>
            <w:r>
              <w:rPr>
                <w:rFonts w:ascii="Times New Roman;Times;Serif" w:hAnsi="Times New Roman;Times;Serif"/>
                <w:b w:val="false"/>
                <w:i w:val="false"/>
                <w:caps w:val="false"/>
                <w:smallCaps w:val="false"/>
                <w:sz w:val="20"/>
                <w:u w:val="single"/>
              </w:rPr>
              <w:t>Series B Preferred Stockholder Limited Waiver</w:t>
            </w:r>
            <w:r>
              <w:rPr>
                <w:rFonts w:ascii="Times New Roman;Times;Serif" w:hAnsi="Times New Roman;Times;Serif"/>
                <w:b w:val="false"/>
                <w:i w:val="false"/>
                <w:caps w:val="false"/>
                <w:smallCaps w:val="false"/>
                <w:sz w:val="20"/>
              </w:rPr>
              <w:t>”), shall have been executed and delivered by the Company;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have paid the portion of outstanding legal fees and expenses of Proskauer Rose LLP, counsel for the Lenders, invoiced to the Borrower on or prior to the Eighth Amendment Effective Date;</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invoiced prior to execution of this Amendment, the Borrower shall have paid the legal fees and expenses of Holland &amp; Knight LLP, counsel for the Agent, incurred in connection with the preparation, negotiation, execution and delivery of this Amendment and other services rendered in connection with the Loan Agreement prior to the date hereof; and</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 shall have paid all reasonable and documented out-of-pocket expenses incurred by the Lenders party hereto and the Agent owing and payable pursuant to Section 10.2 of the Loan Agreement and all accrued and unpaid fees owing and payable to the Lenders party hereto and the Agent shall have been paid to the extent invoiced and delivered to the Borrower on or before the Eighth Amendment Effective Date.</w:t>
            </w:r>
          </w:p>
        </w:tc>
      </w:tr>
    </w:tbl>
    <w:p>
      <w:pPr>
        <w:pStyle w:val="TextBody"/>
        <w:bidi w:val="0"/>
        <w:spacing w:before="0" w:after="0"/>
        <w:ind w:left="0" w:right="0" w:firstLine="720"/>
        <w:jc w:val="both"/>
        <w:rPr>
          <w:caps w:val="false"/>
          <w:smallCaps w:val="false"/>
        </w:rPr>
      </w:pPr>
      <w:r>
        <w:rPr>
          <w:caps w:val="false"/>
          <w:smallCaps w:val="false"/>
        </w:rPr>
        <w:t> </w:t>
      </w:r>
    </w:p>
    <w:tbl>
      <w:tblPr>
        <w:tblW w:w="2853" w:type="dxa"/>
        <w:jc w:val="left"/>
        <w:tblInd w:w="0" w:type="dxa"/>
        <w:tblLayout w:type="fixed"/>
        <w:tblCellMar>
          <w:top w:w="0" w:type="dxa"/>
          <w:left w:w="0" w:type="dxa"/>
          <w:bottom w:w="0" w:type="dxa"/>
          <w:right w:w="0" w:type="dxa"/>
        </w:tblCellMar>
      </w:tblPr>
      <w:tblGrid>
        <w:gridCol w:w="38"/>
        <w:gridCol w:w="170"/>
        <w:gridCol w:w="2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26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Parties represent and warrant that after giving effect to this Amendment, the representations and warranties contained in the Loan Agreement are true and correct in all material respects on and as of the date hereof as if such representations and warranties had been made on and as of the date hereof (it being understood and agreed that any representation or warranty which by its terms is made as of a specified date will be true and correct in all material respects only as of such specified date, and that any representation or warranty which is subject to any materiality qualifier shall be true and correct in all respects subject to such materiality qualifier).</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75"/>
        <w:gridCol w:w="9892"/>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98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 Parties represent and warrant that after giving effect to this Amendment, no Default or Event of Default will have occurred and be continuing on and as of the Eighth Amendment Effective Date.</w:t>
            </w:r>
          </w:p>
        </w:tc>
      </w:tr>
    </w:tbl>
    <w:p>
      <w:pPr>
        <w:pStyle w:val="TextBody"/>
        <w:bidi w:val="0"/>
        <w:spacing w:before="0" w:after="0"/>
        <w:ind w:left="0" w:right="0" w:firstLine="720"/>
        <w:jc w:val="both"/>
        <w:rPr>
          <w:caps w:val="false"/>
          <w:smallCaps w:val="false"/>
        </w:rPr>
      </w:pPr>
      <w:r>
        <w:rPr>
          <w:caps w:val="false"/>
          <w:smallCaps w:val="false"/>
        </w:rPr>
        <w:t> </w:t>
      </w:r>
    </w:p>
    <w:tbl>
      <w:tblPr>
        <w:tblW w:w="6768" w:type="dxa"/>
        <w:jc w:val="left"/>
        <w:tblInd w:w="0" w:type="dxa"/>
        <w:tblLayout w:type="fixed"/>
        <w:tblCellMar>
          <w:top w:w="0" w:type="dxa"/>
          <w:left w:w="0" w:type="dxa"/>
          <w:bottom w:w="0" w:type="dxa"/>
          <w:right w:w="0" w:type="dxa"/>
        </w:tblCellMar>
      </w:tblPr>
      <w:tblGrid>
        <w:gridCol w:w="38"/>
        <w:gridCol w:w="170"/>
        <w:gridCol w:w="65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5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This Amendment is designated a Loan Document by the Agent.</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0"/>
        <w:gridCol w:w="10037"/>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100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Full Force and Effect</w:t>
            </w:r>
            <w:r>
              <w:rPr>
                <w:rFonts w:ascii="Times New Roman;Times;Serif" w:hAnsi="Times New Roman;Times;Serif"/>
                <w:b w:val="false"/>
                <w:i w:val="false"/>
                <w:caps w:val="false"/>
                <w:smallCaps w:val="false"/>
                <w:sz w:val="20"/>
              </w:rPr>
              <w:t>. Except as expressly set forth herein, nothing contained herein shall be deemed to constitute a waiver of compliance with any term or condition contained in the Loan Agreement or any of the other Loan Documents. Except as expressly amended hereby, the Loan Agreement shall continue unmodified and in full force and effect in accordance with the provisions thereof on the date hereof. This Amendment shall be limited precisely as drafted and shall not imply an obligation on the Agent or any Lender to consent to any matter on any future occasion. As used in the Loan Agreement, the terms “Agreement,” “this Agreement,” “this Loan Agreement,” “herein,” “hereafter,” “hereto,” “hereof” and words of similar import shall mean, unless the context otherwise requires, the Loan Agreement as modified by this Amendment.</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10033"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CHOICE OF LAW</w:t>
            </w:r>
            <w:r>
              <w:rPr>
                <w:rFonts w:ascii="Times New Roman;Times;Serif" w:hAnsi="Times New Roman;Times;Serif"/>
                <w:b/>
                <w:i w:val="false"/>
                <w:caps w:val="false"/>
                <w:smallCaps w:val="false"/>
                <w:sz w:val="20"/>
              </w:rPr>
              <w:t>. THIS AMENDMENT SHALL IN ALL RESPECTS BE CONSTRUED IN ACCORDANCE WITH, AND GOVERNED BY, THE LAWS OF THE STATE OF NEW YORK WHICH ARE APPLICABLE TO CONTRACTS MADE AND TO BE PERFORMED WHOLLY WITHIN SUCH STATE WITHOUT REGARD TO ANY PRINCIPLES OF CONFLICTS OF LAW THAT WOULD RESULT IN THE APPLICATION OF THE LAWS OF ANOTHER JURISDICTION.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37"/>
        <w:gridCol w:w="10030"/>
      </w:tblGrid>
      <w:tr>
        <w:trPr/>
        <w:tc>
          <w:tcPr>
            <w:tcW w:w="3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Amendment may be executed in one or more counterparts, each of which shall constitute an original, but all of which when taken together shall constitute but one instrument. Counterparts may be delivered via facsimile, electronic mail (including pdf) or other transmission method and any counterpart so delivered shall be deemed to be as effective as an original signature page delivered manually.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of this Amendment are for the purposes of reference only and shall not affect the construction of this Amendment.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9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The provisions of this Amendment shall be binding upon and inure to the benefit of the parties hereto and their respective successors and assigns; provided that none of the Credit Parties may assign or transfer any of its rights or obligations under this Amendment without the prior written consent of the Agent.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92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The illegality or unenforceability of any provision of this Amendment or any instrument or agreement required hereunder shall not in any way affect or impair the legality or enforceability of the remaining provisions of this Amendment or any instrument or agreement required hereunder. </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Release of Claims</w:t>
            </w:r>
            <w:r>
              <w:rPr>
                <w:rFonts w:ascii="Times New Roman;Times;Serif" w:hAnsi="Times New Roman;Times;Serif"/>
                <w:b w:val="false"/>
                <w:i w:val="false"/>
                <w:caps w:val="false"/>
                <w:smallCaps w:val="false"/>
                <w:sz w:val="20"/>
              </w:rPr>
              <w:t>. In consideration of the Lenders’ and the Agent’s agreements contained in this Amendment, the Borrower and Guarantors hereby irrevocably release and forever discharge the Lenders and the Agent and their affiliates, subsidiaries, successors, assigns, directors, officers, employees, agents, consultants and attorneys (each, a “</w:t>
            </w:r>
            <w:r>
              <w:rPr>
                <w:rFonts w:ascii="Times New Roman;Times;Serif" w:hAnsi="Times New Roman;Times;Serif"/>
                <w:b w:val="false"/>
                <w:i w:val="false"/>
                <w:caps w:val="false"/>
                <w:smallCaps w:val="false"/>
                <w:sz w:val="20"/>
                <w:u w:val="single"/>
              </w:rPr>
              <w:t>Released Person</w:t>
            </w:r>
            <w:r>
              <w:rPr>
                <w:rFonts w:ascii="Times New Roman;Times;Serif" w:hAnsi="Times New Roman;Times;Serif"/>
                <w:b w:val="false"/>
                <w:i w:val="false"/>
                <w:caps w:val="false"/>
                <w:smallCaps w:val="false"/>
                <w:sz w:val="20"/>
              </w:rPr>
              <w:t>”) of and from any and all claims, suits, actions, investigations, proceedings or demands, whether based in contract, tort, implied or express warranty, strict liability, criminal or civil statute or common law of any kind or character, known or unknown, which the Borrower and Guarantors ever had or now have against Agent, any Lender or any other Released Person which relates, directly or indirectly, to any acts or omissions of Agent, any Lender or any other Released Person relating to the Loan Agreement or any other Loan Document on or prior to the date hereof.</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993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Reaffirmation</w:t>
            </w:r>
            <w:r>
              <w:rPr>
                <w:rFonts w:ascii="Times New Roman;Times;Serif" w:hAnsi="Times New Roman;Times;Serif"/>
                <w:b w:val="false"/>
                <w:i w:val="false"/>
                <w:caps w:val="false"/>
                <w:smallCaps w:val="false"/>
                <w:sz w:val="20"/>
              </w:rPr>
              <w:t>. Each of the Credit Parties as debtor, grantor, pledgor, guarantor, assignor, or in any other similar capacity in which such Credit Party grants liens or security interests in its property or otherwise acts as accommodation party or guarantor, as the case may be, hereby (i) ratifies and reaffirms all of its payment and performance obligations, contingent or otherwise, under each of the Loan Documents to which it is a party (after giving effect hereto) and (ii) to the extent such Credit Party granted liens on or security interests in any of its property pursuant to any such Loan Document as security for or otherwise guaranteed the Borrower’s Obligations under or with respect to the Loan Documents, ratifies and reaffirms such guarantee and grant of security interests and liens and confirms and agrees that such security interests and liens hereafter secure all of the Obligations as amended hereby. Each of the Credit Parties hereby consents to this Amendment and acknowledges that each of the Loan Documents remains in full force and effect and is hereby ratified and reaffirmed. The execution of this Amendment shall not operate as a waiver of any right, power or remedy of the Agent or Lenders, constitute a waiver of any provision of any of the Loan Documents or serve to effect a novation of the Obligations.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993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Limited Waiver</w:t>
            </w:r>
            <w:r>
              <w:rPr>
                <w:rFonts w:ascii="Times New Roman;Times;Serif" w:hAnsi="Times New Roman;Times;Serif"/>
                <w:b w:val="false"/>
                <w:i w:val="false"/>
                <w:caps w:val="false"/>
                <w:smallCaps w:val="false"/>
                <w:sz w:val="20"/>
              </w:rPr>
              <w:t>. The limited waivers contained in Section 2 hereof are limited to the specific instance for which they are expressly given, and shall not (a) constitute a waiver, modification or alteration of the terms, conditions or covenants of the Loan Agreement or any other Loan Document, (b) constitute a waiver, release or limitation upon the exercise by the Agent or the Lenders of any of their respective rights, legal or equitable, under the Loan Agreement or any other Loan Document (all such rights and remedies being expressly reserved by the Agent and the Lenders save and except those expressly waived herein) or (c) establish a custom or course of dealing or conduct between the Lenders, on the one hand, and the Credit Parties on the other hand. Except to the extent otherwise expressly provided herein, the Loan Agreement and each of the other Loan Documents shall remain in full force and effect in accordance with their respective terms.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2"/>
        <w:gridCol w:w="9915"/>
      </w:tblGrid>
      <w:tr>
        <w:trPr/>
        <w:tc>
          <w:tcPr>
            <w:tcW w:w="3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99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Each of the Lenders, by its execution of this Amendment, hereby directs the Agent to execute this Amendment. In doing so, the Agent shall be entitled to all of its rights, benefits and protections set forth in the Loan Agreement.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by their duly authorized officers, all as of the date and year first above written.</w:t>
      </w:r>
    </w:p>
    <w:p>
      <w:pPr>
        <w:pStyle w:val="TextBody"/>
        <w:bidi w:val="0"/>
        <w:spacing w:before="0" w:after="0"/>
        <w:ind w:left="0" w:right="0" w:hanging="0"/>
        <w:jc w:val="both"/>
        <w:rPr>
          <w:caps w:val="false"/>
          <w:smallCaps w:val="false"/>
        </w:rPr>
      </w:pPr>
      <w:r>
        <w:rPr>
          <w:caps w:val="false"/>
          <w:smallCaps w:val="false"/>
        </w:rPr>
        <w:t> </w:t>
      </w:r>
    </w:p>
    <w:tbl>
      <w:tblPr>
        <w:tblW w:w="4029" w:type="dxa"/>
        <w:jc w:val="left"/>
        <w:tblInd w:w="0" w:type="dxa"/>
        <w:tblLayout w:type="fixed"/>
        <w:tblCellMar>
          <w:top w:w="0" w:type="dxa"/>
          <w:left w:w="0" w:type="dxa"/>
          <w:bottom w:w="0" w:type="dxa"/>
          <w:right w:w="0" w:type="dxa"/>
        </w:tblCellMar>
      </w:tblPr>
      <w:tblGrid>
        <w:gridCol w:w="1265"/>
        <w:gridCol w:w="602"/>
        <w:gridCol w:w="2162"/>
      </w:tblGrid>
      <w:tr>
        <w:trPr/>
        <w:tc>
          <w:tcPr>
            <w:tcW w:w="126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BORROWER</w:t>
            </w:r>
            <w:r>
              <w:rPr>
                <w:rFonts w:ascii="Times New Roman;Times;Serif" w:hAnsi="Times New Roman;Times;Serif"/>
                <w:b/>
                <w:i w:val="false"/>
                <w:caps w:val="false"/>
                <w:smallCaps w:val="false"/>
                <w:sz w:val="20"/>
              </w:rPr>
              <w:t>:</w:t>
            </w:r>
          </w:p>
        </w:tc>
        <w:tc>
          <w:tcPr>
            <w:tcW w:w="276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CORP.</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caps w:val="false"/>
                <w:smallCaps w:val="false"/>
              </w:rPr>
            </w:pPr>
            <w:r>
              <w:rPr>
                <w:caps w:val="false"/>
                <w:smallCaps w:val="false"/>
              </w:rPr>
              <w:t> </w:t>
            </w:r>
          </w:p>
        </w:tc>
        <w:tc>
          <w:tcPr>
            <w:tcW w:w="216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162"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265" w:type="dxa"/>
            <w:tcBorders/>
            <w:vAlign w:val="center"/>
          </w:tcPr>
          <w:p>
            <w:pPr>
              <w:pStyle w:val="TableContents"/>
              <w:bidi w:val="0"/>
              <w:spacing w:before="0" w:after="283"/>
              <w:jc w:val="left"/>
              <w:rPr>
                <w:caps w:val="false"/>
                <w:smallCaps w:val="false"/>
              </w:rPr>
            </w:pPr>
            <w:r>
              <w:rPr>
                <w:caps w:val="false"/>
                <w:smallCaps w:val="false"/>
              </w:rPr>
              <w:t> </w:t>
            </w:r>
          </w:p>
        </w:tc>
        <w:tc>
          <w:tcPr>
            <w:tcW w:w="6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264" w:type="dxa"/>
        <w:jc w:val="left"/>
        <w:tblInd w:w="0" w:type="dxa"/>
        <w:tblLayout w:type="fixed"/>
        <w:tblCellMar>
          <w:top w:w="0" w:type="dxa"/>
          <w:left w:w="0" w:type="dxa"/>
          <w:bottom w:w="0" w:type="dxa"/>
          <w:right w:w="0" w:type="dxa"/>
        </w:tblCellMar>
      </w:tblPr>
      <w:tblGrid>
        <w:gridCol w:w="1445"/>
        <w:gridCol w:w="1051"/>
        <w:gridCol w:w="3768"/>
      </w:tblGrid>
      <w:tr>
        <w:trPr/>
        <w:tc>
          <w:tcPr>
            <w:tcW w:w="144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GUARANTORS</w:t>
            </w:r>
            <w:r>
              <w:rPr>
                <w:rFonts w:ascii="Times New Roman;Times;Serif" w:hAnsi="Times New Roman;Times;Serif"/>
                <w:b/>
                <w:i w:val="false"/>
                <w:caps w:val="false"/>
                <w:smallCaps w:val="false"/>
                <w:sz w:val="20"/>
              </w:rPr>
              <w:t>:</w:t>
            </w:r>
          </w:p>
        </w:tc>
        <w:tc>
          <w:tcPr>
            <w:tcW w:w="48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DRAGONFLY ENERGY HOLDINGS CORP. </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481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(F/K/A CHARDAN NEXTECH ACQUISITION 2 CORP.)</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1051" w:type="dxa"/>
            <w:tcBorders/>
            <w:vAlign w:val="center"/>
          </w:tcPr>
          <w:p>
            <w:pPr>
              <w:pStyle w:val="TableContents"/>
              <w:bidi w:val="0"/>
              <w:spacing w:before="0" w:after="283"/>
              <w:jc w:val="left"/>
              <w:rPr>
                <w:caps w:val="false"/>
                <w:smallCaps w:val="false"/>
              </w:rPr>
            </w:pPr>
            <w:r>
              <w:rPr>
                <w:caps w:val="false"/>
                <w:smallCaps w:val="false"/>
              </w:rPr>
              <w:t> </w:t>
            </w:r>
          </w:p>
        </w:tc>
        <w:tc>
          <w:tcPr>
            <w:tcW w:w="376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1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76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1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1445" w:type="dxa"/>
            <w:tcBorders/>
            <w:vAlign w:val="center"/>
          </w:tcPr>
          <w:p>
            <w:pPr>
              <w:pStyle w:val="TableContents"/>
              <w:bidi w:val="0"/>
              <w:spacing w:before="0" w:after="283"/>
              <w:jc w:val="left"/>
              <w:rPr>
                <w:caps w:val="false"/>
                <w:smallCaps w:val="false"/>
              </w:rPr>
            </w:pPr>
            <w:r>
              <w:rPr>
                <w:caps w:val="false"/>
                <w:smallCaps w:val="false"/>
              </w:rPr>
              <w:t> </w:t>
            </w:r>
          </w:p>
        </w:tc>
        <w:tc>
          <w:tcPr>
            <w:tcW w:w="10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7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4099" w:type="dxa"/>
        <w:jc w:val="left"/>
        <w:tblInd w:w="0" w:type="dxa"/>
        <w:tblLayout w:type="fixed"/>
        <w:tblCellMar>
          <w:top w:w="0" w:type="dxa"/>
          <w:left w:w="0" w:type="dxa"/>
          <w:bottom w:w="0" w:type="dxa"/>
          <w:right w:w="0" w:type="dxa"/>
        </w:tblCellMar>
      </w:tblPr>
      <w:tblGrid>
        <w:gridCol w:w="75"/>
        <w:gridCol w:w="877"/>
        <w:gridCol w:w="314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02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BATTLE BORN BATTERY PRODUCTS,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77" w:type="dxa"/>
            <w:tcBorders/>
            <w:vAlign w:val="center"/>
          </w:tcPr>
          <w:p>
            <w:pPr>
              <w:pStyle w:val="TableContents"/>
              <w:bidi w:val="0"/>
              <w:spacing w:before="0" w:after="283"/>
              <w:jc w:val="left"/>
              <w:rPr>
                <w:caps w:val="false"/>
                <w:smallCaps w:val="false"/>
              </w:rPr>
            </w:pPr>
            <w:r>
              <w:rPr>
                <w:caps w:val="false"/>
                <w:smallCaps w:val="false"/>
              </w:rPr>
              <w:t> </w:t>
            </w:r>
          </w:p>
        </w:tc>
        <w:tc>
          <w:tcPr>
            <w:tcW w:w="3147"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7"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3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87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3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369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3690" w:right="0" w:hanging="0"/>
        <w:jc w:val="both"/>
        <w:rPr>
          <w:caps w:val="false"/>
          <w:smallCaps w:val="false"/>
        </w:rPr>
      </w:pPr>
      <w:r>
        <w:rPr>
          <w:caps w:val="false"/>
          <w:smallCaps w:val="false"/>
        </w:rPr>
        <w:t> </w:t>
      </w:r>
    </w:p>
    <w:tbl>
      <w:tblPr>
        <w:tblW w:w="3099" w:type="dxa"/>
        <w:jc w:val="left"/>
        <w:tblInd w:w="0" w:type="dxa"/>
        <w:tblLayout w:type="fixed"/>
        <w:tblCellMar>
          <w:top w:w="0" w:type="dxa"/>
          <w:left w:w="0" w:type="dxa"/>
          <w:bottom w:w="0" w:type="dxa"/>
          <w:right w:w="0" w:type="dxa"/>
        </w:tblCellMar>
      </w:tblPr>
      <w:tblGrid>
        <w:gridCol w:w="785"/>
        <w:gridCol w:w="733"/>
        <w:gridCol w:w="1581"/>
      </w:tblGrid>
      <w:tr>
        <w:trPr/>
        <w:tc>
          <w:tcPr>
            <w:tcW w:w="785" w:type="dxa"/>
            <w:tcBorders/>
            <w:vAlign w:val="center"/>
          </w:tcPr>
          <w:p>
            <w:pPr>
              <w:pStyle w:val="TableContents"/>
              <w:bidi w:val="0"/>
              <w:spacing w:before="0" w:after="283"/>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AGENT:</w:t>
            </w:r>
          </w:p>
        </w:tc>
        <w:tc>
          <w:tcPr>
            <w:tcW w:w="2314"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ALTER DOMUS (US) LLC</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caps w:val="false"/>
                <w:smallCaps w:val="false"/>
              </w:rPr>
            </w:pPr>
            <w:r>
              <w:rPr>
                <w:caps w:val="false"/>
                <w:smallCaps w:val="false"/>
              </w:rPr>
              <w:t> </w:t>
            </w:r>
          </w:p>
        </w:tc>
        <w:tc>
          <w:tcPr>
            <w:tcW w:w="158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581"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Pinju Chiu</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581"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Pinju Chiu</w:t>
            </w:r>
          </w:p>
        </w:tc>
      </w:tr>
      <w:tr>
        <w:trPr/>
        <w:tc>
          <w:tcPr>
            <w:tcW w:w="785" w:type="dxa"/>
            <w:tcBorders/>
            <w:vAlign w:val="center"/>
          </w:tcPr>
          <w:p>
            <w:pPr>
              <w:pStyle w:val="TableContents"/>
              <w:bidi w:val="0"/>
              <w:spacing w:before="0" w:after="283"/>
              <w:jc w:val="left"/>
              <w:rPr>
                <w:caps w:val="false"/>
                <w:smallCaps w:val="false"/>
              </w:rPr>
            </w:pPr>
            <w:r>
              <w:rPr>
                <w:caps w:val="false"/>
                <w:smallCaps w:val="false"/>
              </w:rPr>
              <w:t> </w:t>
            </w:r>
          </w:p>
        </w:tc>
        <w:tc>
          <w:tcPr>
            <w:tcW w:w="73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581" w:type="dxa"/>
            <w:tcBorders/>
            <w:vAlign w:val="center"/>
          </w:tcPr>
          <w:p>
            <w:pPr>
              <w:pStyle w:val="TableContents"/>
              <w:bidi w:val="0"/>
              <w:spacing w:before="0" w:after="283"/>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Counsel</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345" w:type="dxa"/>
        <w:jc w:val="left"/>
        <w:tblInd w:w="0" w:type="dxa"/>
        <w:tblLayout w:type="fixed"/>
        <w:tblCellMar>
          <w:top w:w="0" w:type="dxa"/>
          <w:left w:w="0" w:type="dxa"/>
          <w:bottom w:w="0" w:type="dxa"/>
          <w:right w:w="0" w:type="dxa"/>
        </w:tblCellMar>
      </w:tblPr>
      <w:tblGrid>
        <w:gridCol w:w="995"/>
        <w:gridCol w:w="350"/>
      </w:tblGrid>
      <w:tr>
        <w:trPr/>
        <w:tc>
          <w:tcPr>
            <w:tcW w:w="99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u w:val="single"/>
              </w:rPr>
              <w:t>LENDERS</w:t>
            </w:r>
            <w:r>
              <w:rPr>
                <w:rFonts w:ascii="Times New Roman;Times;Serif" w:hAnsi="Times New Roman;Times;Serif"/>
                <w:b/>
                <w:i w:val="false"/>
                <w:caps w:val="false"/>
                <w:smallCaps w:val="false"/>
                <w:sz w:val="20"/>
              </w:rPr>
              <w:t>:</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right"/>
        <w:rPr>
          <w:caps w:val="false"/>
          <w:smallCaps w:val="false"/>
        </w:rPr>
      </w:pPr>
      <w:bookmarkStart w:id="28" w:name="ex10-2.htm"/>
      <w:bookmarkStart w:id="29" w:name="ksex102"/>
      <w:bookmarkEnd w:id="28"/>
      <w:bookmarkEnd w:id="29"/>
      <w:r>
        <w:rPr>
          <w:caps w:val="false"/>
          <w:smallCaps w:val="false"/>
        </w:rPr>
        <w:t> </w:t>
      </w:r>
      <w:r>
        <w:br w:type="page"/>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10.2</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Series B Preferred Stockholder Limited Waiver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ELECTRONIC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Dragonfly Energy Holdings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12915 Old Virginia Road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Reno, Nevada 89521</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Denis Phares, Ph.D., CEO and President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denis@dragonfly.com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Mr. Phares: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Certificate of Designation of Rights and Preferences of Series B Convertible Preferred Stock, $0.0001 par value (the “</w:t>
      </w:r>
      <w:r>
        <w:rPr>
          <w:rFonts w:ascii="Times New Roman;Times;Serif" w:hAnsi="Times New Roman;Times;Serif"/>
          <w:b/>
          <w:i w:val="false"/>
          <w:caps w:val="false"/>
          <w:smallCaps w:val="false"/>
          <w:sz w:val="20"/>
        </w:rPr>
        <w:t>Series B Preferred Stock</w:t>
      </w:r>
      <w:r>
        <w:rPr>
          <w:rFonts w:ascii="Times New Roman;Times;Serif" w:hAnsi="Times New Roman;Times;Serif"/>
          <w:b w:val="false"/>
          <w:i w:val="false"/>
          <w:caps w:val="false"/>
          <w:smallCaps w:val="false"/>
          <w:sz w:val="20"/>
        </w:rPr>
        <w:t>”) of Dragonfly Energy Holdings Corp.,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dated as of November 4, 2025 (the “</w:t>
      </w:r>
      <w:r>
        <w:rPr>
          <w:rFonts w:ascii="Times New Roman;Times;Serif" w:hAnsi="Times New Roman;Times;Serif"/>
          <w:b/>
          <w:i w:val="false"/>
          <w:caps w:val="false"/>
          <w:smallCaps w:val="false"/>
          <w:sz w:val="20"/>
        </w:rPr>
        <w:t>Certificate of Designation</w:t>
      </w:r>
      <w:r>
        <w:rPr>
          <w:rFonts w:ascii="Times New Roman;Times;Serif" w:hAnsi="Times New Roman;Times;Serif"/>
          <w:b w:val="false"/>
          <w:i w:val="false"/>
          <w:caps w:val="false"/>
          <w:smallCaps w:val="false"/>
          <w:sz w:val="20"/>
        </w:rPr>
        <w:t>”). Capitalized terms used but not otherwise defined herein shall have the meanings ascribed to such terms in the Certificate of Designation.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undersigned is a holder of shares of Series B Preferred Stock and, collectively, the undersigned hold 100% of the outstanding shares of Series B Preferred Stock and constitute the “Requisite Holders” as defined in the Certificate of Designation. Pursuant to Section 3 of the Certificate of Designation, holders of Series B Preferred Stock are entitled to receive from the Company dividends (“</w:t>
      </w:r>
      <w:r>
        <w:rPr>
          <w:rFonts w:ascii="Times New Roman;Times;Serif" w:hAnsi="Times New Roman;Times;Serif"/>
          <w:b/>
          <w:i w:val="false"/>
          <w:caps w:val="false"/>
          <w:smallCaps w:val="false"/>
          <w:sz w:val="20"/>
        </w:rPr>
        <w:t>Dividends</w:t>
      </w:r>
      <w:r>
        <w:rPr>
          <w:rFonts w:ascii="Times New Roman;Times;Serif" w:hAnsi="Times New Roman;Times;Serif"/>
          <w:b w:val="false"/>
          <w:i w:val="false"/>
          <w:caps w:val="false"/>
          <w:smallCaps w:val="false"/>
          <w:sz w:val="20"/>
        </w:rPr>
        <w:t>”) at a rate of ten percent (10%) per annum; provided that each Quarterly Dividend Amount is payable as eight percent (8%) in cash (“</w:t>
      </w:r>
      <w:r>
        <w:rPr>
          <w:rFonts w:ascii="Times New Roman;Times;Serif" w:hAnsi="Times New Roman;Times;Serif"/>
          <w:b/>
          <w:i w:val="false"/>
          <w:caps w:val="false"/>
          <w:smallCaps w:val="false"/>
          <w:sz w:val="20"/>
        </w:rPr>
        <w:t>Cash Dividends</w:t>
      </w:r>
      <w:r>
        <w:rPr>
          <w:rFonts w:ascii="Times New Roman;Times;Serif" w:hAnsi="Times New Roman;Times;Serif"/>
          <w:b w:val="false"/>
          <w:i w:val="false"/>
          <w:caps w:val="false"/>
          <w:smallCaps w:val="false"/>
          <w:sz w:val="20"/>
        </w:rPr>
        <w:t>”) and two percent (2%) as payment-in-kind (“</w:t>
      </w:r>
      <w:r>
        <w:rPr>
          <w:rFonts w:ascii="Times New Roman;Times;Serif" w:hAnsi="Times New Roman;Times;Serif"/>
          <w:b/>
          <w:i w:val="false"/>
          <w:caps w:val="false"/>
          <w:smallCaps w:val="false"/>
          <w:sz w:val="20"/>
        </w:rPr>
        <w:t>PIK Dividends</w:t>
      </w:r>
      <w:r>
        <w:rPr>
          <w:rFonts w:ascii="Times New Roman;Times;Serif" w:hAnsi="Times New Roman;Times;Serif"/>
          <w:b w:val="false"/>
          <w:i w:val="false"/>
          <w:caps w:val="false"/>
          <w:smallCaps w:val="false"/>
          <w:sz w:val="20"/>
        </w:rPr>
        <w:t>”), on the terms and subject to the conditions set forth therein, with Dividends for the quarter ending September 30, 2026 (the “</w:t>
      </w:r>
      <w:r>
        <w:rPr>
          <w:rFonts w:ascii="Times New Roman;Times;Serif" w:hAnsi="Times New Roman;Times;Serif"/>
          <w:b/>
          <w:i w:val="false"/>
          <w:caps w:val="false"/>
          <w:smallCaps w:val="false"/>
          <w:sz w:val="20"/>
        </w:rPr>
        <w:t>September Dividend</w:t>
      </w:r>
      <w:r>
        <w:rPr>
          <w:rFonts w:ascii="Times New Roman;Times;Serif" w:hAnsi="Times New Roman;Times;Serif"/>
          <w:b w:val="false"/>
          <w:i w:val="false"/>
          <w:caps w:val="false"/>
          <w:smallCaps w:val="false"/>
          <w:sz w:val="20"/>
        </w:rPr>
        <w:t>”) payable on October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undersigned hereby irrevocably and unconditionally waives, solely with respect to the September Dividend, its right to receive payment of the full Cash Dividend on or prior to October 1, 2026;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the Company shall pay Cash Dividends equal to two percent (2%) per annum to holders of Series B Preferred Stock on or prior to October 1, 2026, (b) the Company shall pay Cash Dividends equal to six percent (6%) per annum to holders of Series B Preferred Stock on or prior to October 30, 2026, (c) PIK Dividends shall continue to accrue and accumulate at a rate of two percent (2%) per annum as contemplated by the Certificate of Designation, (d) so long as the Company complies with clauses (a) and (b), such deferral shall not constitute a Non-Payment Event or Preferred Default and (e) except as expressly modified by this waiver, all other terms of the Certificate of Designation shall remain in full force and effect, including, without limitation, the dividend rate, accrual provisions, and the rights and preferences of the holders of Series B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waiver shall be governed by, and construed in accordance with, the laws of the State of Nevada, without regard to principles of conflicts of law thereof. This waiver may be executed in any number of counterparts, each of which shall be deemed an original, and all of which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each of the undersigned has executed this waiver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w:t>
      </w:r>
    </w:p>
    <w:p>
      <w:pPr>
        <w:pStyle w:val="TextBody"/>
        <w:bidi w:val="0"/>
        <w:spacing w:before="0" w:after="283"/>
        <w:jc w:val="left"/>
        <w:rPr/>
      </w:pPr>
      <w:r>
        <w:rPr/>
        <w:t> </w:t>
      </w:r>
    </w:p>
    <w:p>
      <w:pPr>
        <w:pStyle w:val="TextBody"/>
        <w:bidi w:val="0"/>
        <w:jc w:val="center"/>
        <w:rPr>
          <w:rFonts w:ascii="Times New Roman;Times;Serif" w:hAnsi="Times New Roman;Times;Serif"/>
          <w:i/>
          <w:sz w:val="20"/>
        </w:rPr>
      </w:pPr>
      <w:r>
        <w:rPr>
          <w:rFonts w:ascii="Times New Roman;Times;Serif" w:hAnsi="Times New Roman;Times;Serif"/>
          <w:i/>
          <w:sz w:val="20"/>
        </w:rPr>
        <w:t>[Signature Page to Series B Preferred Stockholder Limited Waiver]</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3889" w:type="dxa"/>
        <w:jc w:val="left"/>
        <w:tblInd w:w="0" w:type="dxa"/>
        <w:tblLayout w:type="fixed"/>
        <w:tblCellMar>
          <w:top w:w="0" w:type="dxa"/>
          <w:left w:w="0" w:type="dxa"/>
          <w:bottom w:w="0" w:type="dxa"/>
          <w:right w:w="0" w:type="dxa"/>
        </w:tblCellMar>
      </w:tblPr>
      <w:tblGrid>
        <w:gridCol w:w="839"/>
        <w:gridCol w:w="2990"/>
        <w:gridCol w:w="60"/>
      </w:tblGrid>
      <w:tr>
        <w:trPr/>
        <w:tc>
          <w:tcPr>
            <w:tcW w:w="3829" w:type="dxa"/>
            <w:gridSpan w:val="2"/>
            <w:tcBorders/>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ACKNOWLEDGED AND AGREED:</w:t>
            </w:r>
          </w:p>
        </w:tc>
        <w:tc>
          <w:tcPr>
            <w:tcW w:w="60"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839"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c>
          <w:tcPr>
            <w:tcW w:w="29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382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DRAGONFLY ENERGY HOLDINGS CORP.</w:t>
            </w:r>
          </w:p>
        </w:tc>
        <w:tc>
          <w:tcPr>
            <w:tcW w:w="60"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839"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c>
          <w:tcPr>
            <w:tcW w:w="299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839" w:type="dxa"/>
            <w:tcBorders/>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99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Denis Phares</w:t>
            </w:r>
          </w:p>
        </w:tc>
        <w:tc>
          <w:tcPr>
            <w:tcW w:w="60"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839" w:type="dxa"/>
            <w:tcBorders/>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Denis Phares</w:t>
            </w:r>
          </w:p>
        </w:tc>
        <w:tc>
          <w:tcPr>
            <w:tcW w:w="60" w:type="dxa"/>
            <w:tcBorders/>
            <w:vAlign w:val="center"/>
          </w:tcPr>
          <w:p>
            <w:pPr>
              <w:pStyle w:val="TableContents"/>
              <w:bidi w:val="0"/>
              <w:spacing w:before="0" w:after="283"/>
              <w:ind w:left="0" w:right="0" w:hanging="200"/>
              <w:jc w:val="left"/>
              <w:rPr>
                <w:caps w:val="false"/>
                <w:smallCaps w:val="false"/>
              </w:rPr>
            </w:pPr>
            <w:r>
              <w:rPr>
                <w:caps w:val="false"/>
                <w:smallCaps w:val="false"/>
              </w:rPr>
              <w:t> </w:t>
            </w:r>
          </w:p>
        </w:tc>
      </w:tr>
      <w:tr>
        <w:trPr/>
        <w:tc>
          <w:tcPr>
            <w:tcW w:w="839" w:type="dxa"/>
            <w:tcBorders/>
            <w:vAlign w:val="center"/>
          </w:tcPr>
          <w:p>
            <w:pPr>
              <w:pStyle w:val="TableContents"/>
              <w:bidi w:val="0"/>
              <w:spacing w:before="0" w:after="283"/>
              <w:ind w:left="0" w:right="0" w:hanging="2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9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Series B Preferred Stockholder Limited Waiver]</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3658</Words>
  <Characters>19047</Characters>
  <CharactersWithSpaces>22710</CharactersWithSpaces>
  <Paragraphs>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