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927-1_3seq1.xml.htm"/>
      <w:bookmarkStart w:id="1" w:name="kstm2622927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Eastward Fund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 CHERRY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NEWTON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Dragonfly Energy Holdings Corp.</w:t>
              </w:r>
            </w:hyperlink>
            <w:r>
              <w:rPr/>
              <w:t xml:space="preserve"> [ </w:t>
            </w:r>
            <w:r>
              <w:rPr>
                <w:rFonts w:ascii="Times;serif" w:hAnsi="Times;serif"/>
                <w:color w:val="0000FF"/>
                <w:sz w:val="24"/>
                <w:shd w:fill="FFFFFF" w:val="clear"/>
              </w:rPr>
              <w:t>DFLI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1,432,500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Dennis Cameron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2927d1_ex24.htm"/>
      <w:bookmarkStart w:id="3" w:name="kstm2622927d1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I do hereby appoint each of Kimberlee R. Coleman , Jason L. Langford and Heather Papaleo,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of Eastward Fund Management, LLC (the “Company”),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283"/>
              <w:jc w:val="both"/>
              <w:rPr/>
            </w:pPr>
            <w:r>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and amendments thereto, and such other documents and information as may be necessary or appropriate to obtain codes and passwords enabling the undersigned to make filings and submissions utilizing the EDGAR system;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both"/>
              <w:rPr/>
            </w:pPr>
            <w:r>
              <w:rPr/>
              <w:t>Prepare and execute any and all forms, schedules and other documents (including any amendments thereto) the undersigned is required to file with the SEC, or which the Attorney-in-Fact considers it advisable for the undersigned to file with the SEC, under the Securities Act of 1933 (the “Securities Act”), the Securities Exchange Act of 1934 (the “Exchange Act”), or any rule or regulation thereunder, including under Section 13 or Section 16 of the Exchange Act or any rule or regulation thereunder or under Rule 144 of the Securities Act (“Rule 144”), including Forms 3, 4 and 5, Schedules 13D, 13G, and 13F, and Forms 144 (all such forms, schedules and other documents being referred to herein as “SEC Filings”);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3.</w:t>
            </w:r>
          </w:p>
        </w:tc>
        <w:tc>
          <w:tcPr>
            <w:tcW w:w="9990" w:type="dxa"/>
            <w:tcBorders/>
            <w:vAlign w:val="center"/>
          </w:tcPr>
          <w:p>
            <w:pPr>
              <w:pStyle w:val="TableContents"/>
              <w:bidi w:val="0"/>
              <w:spacing w:before="0" w:after="283"/>
              <w:jc w:val="both"/>
              <w:rPr/>
            </w:pPr>
            <w:r>
              <w:rPr/>
              <w:t xml:space="preserve">Submit and file SEC Filings with the SEC utilizing the EDGAR system or cause them to be submitted and filed by a person appointed under </w:t>
            </w:r>
            <w:r>
              <w:rPr>
                <w:u w:val="single"/>
              </w:rPr>
              <w:t>Section 5</w:t>
            </w:r>
            <w:r>
              <w:rPr/>
              <w:t xml:space="preserve">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4.</w:t>
            </w:r>
          </w:p>
        </w:tc>
        <w:tc>
          <w:tcPr>
            <w:tcW w:w="9982" w:type="dxa"/>
            <w:tcBorders/>
            <w:vAlign w:val="center"/>
          </w:tcPr>
          <w:p>
            <w:pPr>
              <w:pStyle w:val="TableContents"/>
              <w:bidi w:val="0"/>
              <w:spacing w:before="0" w:after="283"/>
              <w:jc w:val="both"/>
              <w:rPr/>
            </w:pPr>
            <w:r>
              <w:rPr/>
              <w:t>File, submit or otherwise deliver SEC Filings to any securities exchange on which the Company’s securities may be listed or traded;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5.</w:t>
            </w:r>
          </w:p>
        </w:tc>
        <w:tc>
          <w:tcPr>
            <w:tcW w:w="10020" w:type="dxa"/>
            <w:tcBorders/>
            <w:vAlign w:val="center"/>
          </w:tcPr>
          <w:p>
            <w:pPr>
              <w:pStyle w:val="TableContents"/>
              <w:bidi w:val="0"/>
              <w:spacing w:before="0" w:after="283"/>
              <w:jc w:val="both"/>
              <w:rPr/>
            </w:pPr>
            <w:r>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take any other actions contemplated by Rule 10 of Regulation S-T with respect to account administrators;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6.</w:t>
            </w:r>
          </w:p>
        </w:tc>
        <w:tc>
          <w:tcPr>
            <w:tcW w:w="10009" w:type="dxa"/>
            <w:tcBorders/>
            <w:vAlign w:val="center"/>
          </w:tcPr>
          <w:p>
            <w:pPr>
              <w:pStyle w:val="TableContents"/>
              <w:bidi w:val="0"/>
              <w:spacing w:before="0" w:after="283"/>
              <w:jc w:val="both"/>
              <w:rPr/>
            </w:pPr>
            <w:r>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7.</w:t>
            </w:r>
          </w:p>
        </w:tc>
        <w:tc>
          <w:tcPr>
            <w:tcW w:w="10014" w:type="dxa"/>
            <w:tcBorders/>
            <w:vAlign w:val="center"/>
          </w:tcPr>
          <w:p>
            <w:pPr>
              <w:pStyle w:val="TableContents"/>
              <w:bidi w:val="0"/>
              <w:spacing w:before="0" w:after="283"/>
              <w:jc w:val="both"/>
              <w:rPr/>
            </w:pPr>
            <w:r>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a)</w:t>
            </w:r>
          </w:p>
        </w:tc>
        <w:tc>
          <w:tcPr>
            <w:tcW w:w="10009" w:type="dxa"/>
            <w:tcBorders/>
            <w:vAlign w:val="center"/>
          </w:tcPr>
          <w:p>
            <w:pPr>
              <w:pStyle w:val="TableContents"/>
              <w:bidi w:val="0"/>
              <w:spacing w:before="0" w:after="283"/>
              <w:jc w:val="both"/>
              <w:rPr/>
            </w:pPr>
            <w:r>
              <w:rPr/>
              <w:t>This Power of Attorney authorizes, but does not require, the Attorney-in-Fact to act in his or her discretion on information provided to such Attorney-in-Fact without independent verification of such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b)</w:t>
            </w:r>
          </w:p>
        </w:tc>
        <w:tc>
          <w:tcPr>
            <w:tcW w:w="10001" w:type="dxa"/>
            <w:tcBorders/>
            <w:vAlign w:val="center"/>
          </w:tcPr>
          <w:p>
            <w:pPr>
              <w:pStyle w:val="TableContents"/>
              <w:bidi w:val="0"/>
              <w:spacing w:before="0" w:after="283"/>
              <w:jc w:val="both"/>
              <w:rPr/>
            </w:pPr>
            <w:r>
              <w:rPr/>
              <w:t>Any documents prepared or executed by the Attorney-in-Fact on behalf of the undersigned pursuant to this Power of Attorney will be in such form and will contain such information as the Attorney-in-Fact, in his or her discretion, deems necessary or desirable;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c)</w:t>
            </w:r>
          </w:p>
        </w:tc>
        <w:tc>
          <w:tcPr>
            <w:tcW w:w="10019" w:type="dxa"/>
            <w:tcBorders/>
            <w:vAlign w:val="center"/>
          </w:tcPr>
          <w:p>
            <w:pPr>
              <w:pStyle w:val="TableContents"/>
              <w:bidi w:val="0"/>
              <w:spacing w:before="0" w:after="283"/>
              <w:jc w:val="both"/>
              <w:rPr/>
            </w:pPr>
            <w:r>
              <w:rPr/>
              <w:t>The Attorney-in-Fact does not assume any liability for the undersigned’s responsibility to comply with the requirements of the Securities Act, the Exchange Act or any rule or regulation thereunder, or any liability of the undersigned for any failure to comply with such requirements;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d)</w:t>
            </w:r>
          </w:p>
        </w:tc>
        <w:tc>
          <w:tcPr>
            <w:tcW w:w="10006" w:type="dxa"/>
            <w:tcBorders/>
            <w:vAlign w:val="center"/>
          </w:tcPr>
          <w:p>
            <w:pPr>
              <w:pStyle w:val="TableContents"/>
              <w:bidi w:val="0"/>
              <w:spacing w:before="0" w:after="283"/>
              <w:jc w:val="both"/>
              <w:rPr/>
            </w:pPr>
            <w:r>
              <w:rPr/>
              <w:t>This Power-of-Attorney does not relieve the undersigned from responsibility for compliance with the undersigned’s obligations under the Securities Act, the Exchange Act or any rule or regulation thereunder, including, without limitation, the reporting requirements under Section 13 of the Exchange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make SEC Filings, including any amendments thereto,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10th day of August, 2026.</w:t>
      </w:r>
    </w:p>
    <w:p>
      <w:pPr>
        <w:pStyle w:val="TextBody"/>
        <w:bidi w:val="0"/>
        <w:spacing w:before="0" w:after="0"/>
        <w:ind w:left="0" w:right="0" w:hanging="0"/>
        <w:jc w:val="left"/>
        <w:rPr>
          <w:caps w:val="false"/>
          <w:smallCaps w:val="false"/>
        </w:rPr>
      </w:pPr>
      <w:r>
        <w:rPr>
          <w:caps w:val="false"/>
          <w:smallCaps w:val="false"/>
        </w:rPr>
        <w:t> </w:t>
      </w:r>
    </w:p>
    <w:tbl>
      <w:tblPr>
        <w:tblW w:w="3049" w:type="dxa"/>
        <w:jc w:val="left"/>
        <w:tblInd w:w="0" w:type="dxa"/>
        <w:tblLayout w:type="fixed"/>
        <w:tblCellMar>
          <w:top w:w="0" w:type="dxa"/>
          <w:left w:w="0" w:type="dxa"/>
          <w:bottom w:w="0" w:type="dxa"/>
          <w:right w:w="0" w:type="dxa"/>
        </w:tblCellMar>
      </w:tblPr>
      <w:tblGrid>
        <w:gridCol w:w="666"/>
        <w:gridCol w:w="2308"/>
        <w:gridCol w:w="75"/>
      </w:tblGrid>
      <w:tr>
        <w:trPr/>
        <w:tc>
          <w:tcPr>
            <w:tcW w:w="29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Eastward Fund Management, LLC</w:t>
            </w:r>
          </w:p>
        </w:tc>
        <w:tc>
          <w:tcPr>
            <w:tcW w:w="75" w:type="dxa"/>
            <w:tcBorders/>
            <w:vAlign w:val="center"/>
          </w:tcPr>
          <w:p>
            <w:pPr>
              <w:pStyle w:val="TableContents"/>
              <w:bidi w:val="0"/>
              <w:spacing w:before="0" w:after="283"/>
              <w:jc w:val="left"/>
              <w:rPr/>
            </w:pPr>
            <w:r>
              <w:rPr/>
              <w:t> </w:t>
            </w:r>
          </w:p>
        </w:tc>
      </w:tr>
      <w:tr>
        <w:trPr/>
        <w:tc>
          <w:tcPr>
            <w:tcW w:w="666" w:type="dxa"/>
            <w:tcBorders/>
            <w:vAlign w:val="center"/>
          </w:tcPr>
          <w:p>
            <w:pPr>
              <w:pStyle w:val="TableContents"/>
              <w:bidi w:val="0"/>
              <w:spacing w:before="0" w:after="283"/>
              <w:jc w:val="left"/>
              <w:rPr>
                <w:caps w:val="false"/>
                <w:smallCaps w:val="false"/>
              </w:rPr>
            </w:pPr>
            <w:r>
              <w:rPr>
                <w:caps w:val="false"/>
                <w:smallCaps w:val="false"/>
              </w:rPr>
              <w:t> </w:t>
            </w:r>
          </w:p>
        </w:tc>
        <w:tc>
          <w:tcPr>
            <w:tcW w:w="230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Dennis P. Cameron</w:t>
            </w:r>
          </w:p>
        </w:tc>
        <w:tc>
          <w:tcPr>
            <w:tcW w:w="75" w:type="dxa"/>
            <w:tcBorders/>
            <w:vAlign w:val="center"/>
          </w:tcPr>
          <w:p>
            <w:pPr>
              <w:pStyle w:val="TableContents"/>
              <w:bidi w:val="0"/>
              <w:spacing w:before="0" w:after="283"/>
              <w:jc w:val="left"/>
              <w:rPr/>
            </w:pPr>
            <w:r>
              <w:rPr/>
              <w:t> </w:t>
            </w:r>
          </w:p>
        </w:tc>
      </w:tr>
      <w:tr>
        <w:trPr/>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P. Cameron</w:t>
            </w:r>
          </w:p>
        </w:tc>
        <w:tc>
          <w:tcPr>
            <w:tcW w:w="75" w:type="dxa"/>
            <w:tcBorders/>
            <w:vAlign w:val="center"/>
          </w:tcPr>
          <w:p>
            <w:pPr>
              <w:pStyle w:val="TableContents"/>
              <w:bidi w:val="0"/>
              <w:spacing w:before="0" w:after="283"/>
              <w:jc w:val="left"/>
              <w:rPr/>
            </w:pPr>
            <w:r>
              <w:rPr/>
              <w:t> </w:t>
            </w:r>
          </w:p>
        </w:tc>
      </w:tr>
      <w:tr>
        <w:trPr/>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115"/>
        <w:gridCol w:w="60"/>
        <w:gridCol w:w="1115"/>
        <w:gridCol w:w="75"/>
      </w:tblGrid>
      <w:tr>
        <w:trPr/>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Pennsylvania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COUNTY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 notary public in and for the above city and state, hereby certifies that the foregoing instrument was acknowledged before me on this 10th day of August 2026 by the above-named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 have hereunto set my hand and official seal.</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28" w:type="dxa"/>
          <w:right w:w="0" w:type="dxa"/>
        </w:tblCellMar>
      </w:tblPr>
      <w:tblGrid>
        <w:gridCol w:w="1520"/>
        <w:gridCol w:w="1340"/>
        <w:gridCol w:w="75"/>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Patrick Wagner</w:t>
            </w:r>
          </w:p>
        </w:tc>
        <w:tc>
          <w:tcPr>
            <w:tcW w:w="134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40" w:type="dxa"/>
            <w:tcBorders/>
            <w:tcMar>
              <w:bottom w:w="0" w:type="dxa"/>
            </w:tcMar>
            <w:vAlign w:val="center"/>
          </w:tcPr>
          <w:p>
            <w:pPr>
              <w:pStyle w:val="TableContents"/>
              <w:bidi w:val="0"/>
              <w:spacing w:before="0" w:after="283"/>
              <w:jc w:val="left"/>
              <w:rPr/>
            </w:pPr>
            <w:r>
              <w:rPr/>
              <w:t>Notary Public</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Commission Expires: 4/25/2028</w:t>
      </w:r>
    </w:p>
    <w:p>
      <w:pPr>
        <w:pStyle w:val="TextBody"/>
        <w:bidi w:val="0"/>
        <w:spacing w:before="0" w:after="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3980"/>
      </w:tblGrid>
      <w:tr>
        <w:trPr/>
        <w:tc>
          <w:tcPr>
            <w:tcW w:w="39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Commonwealth of Pennsylvania – Notary Seal</w:t>
              <w:br/>
              <w:t>PATRICK WAGNER – Notary Public</w:t>
              <w:br/>
              <w:t>Delaware County</w:t>
              <w:br/>
              <w:t>My Commission Expires April 25, 2028</w:t>
              <w:br/>
              <w:t>Commission Number 120678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Notary Public. This notarial act involved the use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audio/video communication technology. Notarization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facilitated by SIGNiX®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761" TargetMode="External"/><Relationship Id="rId3" Type="http://schemas.openxmlformats.org/officeDocument/2006/relationships/hyperlink" Target="http://www.sec.gov/cgi-bin/browse-edgar?action=getcompany&amp;CIK=000184798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1375</Words>
  <Characters>7578</Characters>
  <CharactersWithSpaces>8911</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