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 w:name="xdx_90E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UNDER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5_edei--DocumentPeriodEndDate_c202"/>
      <w:bookmarkEnd w:id="4"/>
      <w:r>
        <w:rPr>
          <w:rFonts w:ascii="Times New Roman;Times;Serif" w:hAnsi="Times New Roman;Times;Serif"/>
          <w:b/>
          <w:i w:val="false"/>
          <w:caps w:val="false"/>
          <w:smallCaps w:val="false"/>
          <w:sz w:val="20"/>
        </w:rPr>
        <w:t xml:space="preserve">June 30, </w:t>
      </w:r>
      <w:bookmarkStart w:id="5" w:name="xdx_90F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 w:name="xdx_900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_________________ to 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5_edei--EntityFileNumber_c20260101"/>
      <w:bookmarkEnd w:id="7"/>
      <w:r>
        <w:rPr>
          <w:rFonts w:ascii="Times New Roman;Times;Serif" w:hAnsi="Times New Roman;Times;Serif"/>
          <w:b/>
          <w:i w:val="false"/>
          <w:caps w:val="false"/>
          <w:smallCaps w:val="false"/>
          <w:sz w:val="20"/>
          <w:u w:val="single"/>
        </w:rPr>
        <w:t>001-40730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4_edei--EntityRegistrantName_c2026"/>
      <w:bookmarkEnd w:id="8"/>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B_edei--EntityIncorporationStateCo"/>
            <w:bookmarkEnd w:id="9"/>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1_edei--EntityTaxIdentificationNum"/>
            <w:bookmarkEnd w:id="10"/>
            <w:r>
              <w:rPr>
                <w:rFonts w:ascii="Times New Roman;Times;Serif" w:hAnsi="Times New Roman;Times;Serif"/>
                <w:b/>
                <w:i w:val="false"/>
                <w:caps w:val="false"/>
                <w:smallCaps w:val="false"/>
                <w:sz w:val="20"/>
              </w:rPr>
              <w:t>85-1873463</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7_edei--EntityAddressAddressLine1_"/>
            <w:bookmarkEnd w:id="11"/>
            <w:r>
              <w:rPr>
                <w:rFonts w:ascii="Times New Roman;Times;Serif" w:hAnsi="Times New Roman;Times;Serif"/>
                <w:b/>
                <w:i w:val="false"/>
                <w:caps w:val="false"/>
                <w:smallCaps w:val="false"/>
                <w:sz w:val="20"/>
              </w:rPr>
              <w:t>12915 Old Virginia Road</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5_edei--EntityAddressCityOrTown_c2"/>
            <w:bookmarkEnd w:id="12"/>
            <w:r>
              <w:rPr>
                <w:rFonts w:ascii="Times New Roman;Times;Serif" w:hAnsi="Times New Roman;Times;Serif"/>
                <w:b/>
                <w:i w:val="false"/>
                <w:caps w:val="false"/>
                <w:smallCaps w:val="false"/>
                <w:sz w:val="20"/>
              </w:rPr>
              <w:t xml:space="preserve">Reno, </w:t>
            </w:r>
            <w:bookmarkStart w:id="13" w:name="xdx_906_edei--EntityAddressStateOrProvin"/>
            <w:bookmarkEnd w:id="13"/>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F_edei--EntityAddressPostalZipCode"/>
            <w:bookmarkEnd w:id="14"/>
            <w:r>
              <w:rPr>
                <w:rFonts w:ascii="Times New Roman;Times;Serif" w:hAnsi="Times New Roman;Times;Serif"/>
                <w:b/>
                <w:i w:val="false"/>
                <w:caps w:val="false"/>
                <w:smallCaps w:val="false"/>
                <w:sz w:val="20"/>
              </w:rPr>
              <w:t>89521</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5" w:name="xdx_908_edei--CityAreaCode_c20260101__20"/>
      <w:bookmarkEnd w:id="15"/>
      <w:r>
        <w:rPr>
          <w:rFonts w:ascii="Times New Roman;Times;Serif" w:hAnsi="Times New Roman;Times;Serif"/>
          <w:b/>
          <w:i w:val="false"/>
          <w:caps w:val="false"/>
          <w:smallCaps w:val="false"/>
          <w:sz w:val="20"/>
          <w:u w:val="single"/>
        </w:rPr>
        <w:t xml:space="preserve">(775) </w:t>
      </w:r>
      <w:bookmarkStart w:id="16" w:name="xdx_90F_edei--LocalPhoneNumber_c20260101"/>
      <w:bookmarkEnd w:id="16"/>
      <w:r>
        <w:rPr>
          <w:rFonts w:ascii="Times New Roman;Times;Serif" w:hAnsi="Times New Roman;Times;Serif"/>
          <w:b/>
          <w:i w:val="false"/>
          <w:caps w:val="false"/>
          <w:smallCaps w:val="false"/>
          <w:sz w:val="20"/>
          <w:u w:val="single"/>
        </w:rPr>
        <w:t>622-3448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750" w:type="dxa"/>
        <w:jc w:val="left"/>
        <w:tblInd w:w="0" w:type="dxa"/>
        <w:tblLayout w:type="fixed"/>
        <w:tblCellMar>
          <w:top w:w="0" w:type="dxa"/>
          <w:left w:w="0" w:type="dxa"/>
          <w:bottom w:w="28" w:type="dxa"/>
          <w:right w:w="0" w:type="dxa"/>
        </w:tblCellMar>
      </w:tblPr>
      <w:tblGrid>
        <w:gridCol w:w="4310"/>
        <w:gridCol w:w="60"/>
        <w:gridCol w:w="1610"/>
        <w:gridCol w:w="60"/>
        <w:gridCol w:w="3710"/>
      </w:tblGrid>
      <w:tr>
        <w:trPr/>
        <w:tc>
          <w:tcPr>
            <w:tcW w:w="43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6_edei--Security12bTitle_c20260101"/>
            <w:bookmarkEnd w:id="17"/>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B_edei--TradingSymbol_c20260101__2"/>
            <w:bookmarkEnd w:id="18"/>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19" w:name="xdx_90E_edei--SecurityExchangeName_c2026"/>
            <w:bookmarkEnd w:id="19"/>
            <w:r>
              <w:rPr>
                <w:rFonts w:ascii="Times New Roman;Times;Serif" w:hAnsi="Times New Roman;Times;Serif"/>
                <w:b w:val="false"/>
                <w:i w:val="false"/>
                <w:caps w:val="false"/>
                <w:smallCaps w:val="false"/>
                <w:sz w:val="20"/>
              </w:rPr>
              <w:t>Nasdaq Capital Market</w:t>
            </w:r>
          </w:p>
        </w:tc>
      </w:tr>
      <w:tr>
        <w:trPr/>
        <w:tc>
          <w:tcPr>
            <w:tcW w:w="4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E_edei--Security12bTitle_c20260101"/>
            <w:bookmarkEnd w:id="20"/>
            <w:r>
              <w:rPr>
                <w:rFonts w:ascii="Times New Roman;Times;Serif" w:hAnsi="Times New Roman;Times;Serif"/>
                <w:b w:val="false"/>
                <w:i w:val="false"/>
                <w:caps w:val="false"/>
                <w:smallCaps w:val="false"/>
                <w:sz w:val="20"/>
              </w:rPr>
              <w:t>Redeemable Warrants, exercisable for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B_edei--TradingSymbol_c20260101__2"/>
            <w:bookmarkEnd w:id="21"/>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2" w:name="xdx_903_edei--SecurityExchangeName_c2026"/>
            <w:bookmarkEnd w:id="22"/>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3" w:name="xdx_90E_edei--EntityCurrentReportingStat"/>
      <w:bookmarkEnd w:id="23"/>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w:t>
      </w:r>
      <w:bookmarkStart w:id="24" w:name="xdx_908_edei--EntityInteractiveDataCurre"/>
      <w:bookmarkEnd w:id="24"/>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5" w:name="xdx_90D_edei--EntityFilerCategory_c20260"/>
            <w:bookmarkEnd w:id="25"/>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6" w:name="xdx_902_edei--EntitySmallBusiness_c20260"/>
            <w:bookmarkEnd w:id="26"/>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9_edei--EntityEmergingGrowthCompan"/>
            <w:bookmarkEnd w:id="27"/>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8" w:name="xdx_909_edei--EntityExTransitionPeriod_c"/>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9" w:name="xdx_906_edei--EntityShellCompany_dbF_c20"/>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11, 2026, there were </w:t>
      </w:r>
      <w:bookmarkStart w:id="30" w:name="xdx_90F_edei--EntityCommonStockSharesOut"/>
      <w:bookmarkEnd w:id="30"/>
      <w:r>
        <w:rPr>
          <w:rFonts w:ascii="Times New Roman;Times;Serif" w:hAnsi="Times New Roman;Times;Serif"/>
          <w:b w:val="false"/>
          <w:i w:val="false"/>
          <w:caps w:val="false"/>
          <w:smallCaps w:val="false"/>
          <w:sz w:val="20"/>
        </w:rPr>
        <w:t>14,978,803 shares of the registrant’s common stock, par value $</w:t>
      </w:r>
      <w:bookmarkStart w:id="31" w:name="xdx_90E_edei--EntityListingParValuePerSh"/>
      <w:bookmarkEnd w:id="31"/>
      <w:r>
        <w:rPr>
          <w:rFonts w:ascii="Times New Roman;Times;Serif" w:hAnsi="Times New Roman;Times;Serif"/>
          <w:b w:val="false"/>
          <w:i w:val="false"/>
          <w:caps w:val="false"/>
          <w:smallCaps w:val="false"/>
          <w:sz w:val="20"/>
        </w:rPr>
        <w:t>0.0001 per share,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1"/>
        <w:gridCol w:w="8861"/>
        <w:gridCol w:w="703"/>
      </w:tblGrid>
      <w:tr>
        <w:trPr/>
        <w:tc>
          <w:tcPr>
            <w:tcW w:w="641" w:type="dxa"/>
            <w:tcBorders/>
            <w:vAlign w:val="center"/>
          </w:tcPr>
          <w:p>
            <w:pPr>
              <w:pStyle w:val="TableContents"/>
              <w:bidi w:val="0"/>
              <w:spacing w:before="0" w:after="283"/>
              <w:jc w:val="both"/>
              <w:rPr>
                <w:caps w:val="false"/>
                <w:smallCaps w:val="false"/>
              </w:rPr>
            </w:pPr>
            <w:r>
              <w:rPr>
                <w:caps w:val="false"/>
                <w:smallCaps w:val="false"/>
              </w:rPr>
              <w:t> </w:t>
            </w:r>
          </w:p>
        </w:tc>
        <w:tc>
          <w:tcPr>
            <w:tcW w:w="8861" w:type="dxa"/>
            <w:tcBorders/>
            <w:vAlign w:val="center"/>
          </w:tcPr>
          <w:p>
            <w:pPr>
              <w:pStyle w:val="TableContents"/>
              <w:bidi w:val="0"/>
              <w:spacing w:before="0" w:after="283"/>
              <w:jc w:val="left"/>
              <w:rPr>
                <w:caps w:val="false"/>
                <w:smallCaps w:val="false"/>
              </w:rPr>
            </w:pPr>
            <w:r>
              <w:rPr>
                <w:caps w:val="false"/>
                <w:smallCaps w:val="false"/>
              </w:rPr>
              <w:t> </w:t>
            </w:r>
          </w:p>
        </w:tc>
        <w:tc>
          <w:tcPr>
            <w:tcW w:w="70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No.</w:t>
            </w:r>
          </w:p>
        </w:tc>
      </w:tr>
      <w:tr>
        <w:trPr/>
        <w:tc>
          <w:tcPr>
            <w:tcW w:w="9502" w:type="dxa"/>
            <w:gridSpan w:val="2"/>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 I. FINANCIAL INFORMATION</w:t>
            </w:r>
          </w:p>
        </w:tc>
        <w:tc>
          <w:tcPr>
            <w:tcW w:w="703"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4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8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(Unaudited)</w:t>
            </w:r>
          </w:p>
        </w:tc>
        <w:tc>
          <w:tcPr>
            <w:tcW w:w="70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4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861" w:type="dxa"/>
            <w:tcBorders/>
            <w:shd w:fill="CCEEFF" w:val="clear"/>
            <w:vAlign w:val="center"/>
          </w:tcPr>
          <w:p>
            <w:pPr>
              <w:pStyle w:val="TableContents"/>
              <w:bidi w:val="0"/>
              <w:spacing w:before="0" w:after="283"/>
              <w:jc w:val="left"/>
              <w:rPr/>
            </w:pPr>
            <w:hyperlink w:anchor="sh_001">
              <w:r>
                <w:rPr>
                  <w:rStyle w:val="InternetLink"/>
                  <w:rFonts w:ascii="Times New Roman;Times;Serif" w:hAnsi="Times New Roman;Times;Serif"/>
                  <w:b w:val="false"/>
                  <w:i w:val="false"/>
                  <w:caps w:val="false"/>
                  <w:smallCaps w:val="false"/>
                  <w:sz w:val="20"/>
                </w:rPr>
                <w:t>Unaudited Condensed Consolidated Balance Sheets as of June 30, 2026 and December 31, 2025</w:t>
              </w:r>
            </w:hyperlink>
          </w:p>
        </w:tc>
        <w:tc>
          <w:tcPr>
            <w:tcW w:w="70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4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861" w:type="dxa"/>
            <w:tcBorders/>
            <w:shd w:fill="FFFFFF" w:val="clear"/>
            <w:vAlign w:val="center"/>
          </w:tcPr>
          <w:p>
            <w:pPr>
              <w:pStyle w:val="TableContents"/>
              <w:bidi w:val="0"/>
              <w:spacing w:before="0" w:after="283"/>
              <w:jc w:val="left"/>
              <w:rPr/>
            </w:pPr>
            <w:hyperlink w:anchor="sh_002">
              <w:r>
                <w:rPr>
                  <w:rStyle w:val="InternetLink"/>
                  <w:rFonts w:ascii="Times New Roman;Times;Serif" w:hAnsi="Times New Roman;Times;Serif"/>
                  <w:b w:val="false"/>
                  <w:i w:val="false"/>
                  <w:caps w:val="false"/>
                  <w:smallCaps w:val="false"/>
                  <w:sz w:val="20"/>
                </w:rPr>
                <w:t>Unaudited Condensed Consolidated Statements of Operations for the three and six months ended June 30, 2026 and 2025</w:t>
              </w:r>
            </w:hyperlink>
          </w:p>
        </w:tc>
        <w:tc>
          <w:tcPr>
            <w:tcW w:w="70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4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861" w:type="dxa"/>
            <w:tcBorders/>
            <w:shd w:fill="CCEEFF" w:val="clear"/>
            <w:vAlign w:val="center"/>
          </w:tcPr>
          <w:p>
            <w:pPr>
              <w:pStyle w:val="TableContents"/>
              <w:bidi w:val="0"/>
              <w:spacing w:before="0" w:after="283"/>
              <w:jc w:val="left"/>
              <w:rPr/>
            </w:pPr>
            <w:hyperlink w:anchor="sh_003">
              <w:r>
                <w:rPr>
                  <w:rStyle w:val="InternetLink"/>
                  <w:rFonts w:ascii="Times New Roman;Times;Serif" w:hAnsi="Times New Roman;Times;Serif"/>
                  <w:b w:val="false"/>
                  <w:i w:val="false"/>
                  <w:caps w:val="false"/>
                  <w:smallCaps w:val="false"/>
                  <w:sz w:val="20"/>
                </w:rPr>
                <w:t>Unaudited Condensed Consolidated Statements of Stockholders’ Equity (Deficit) for the three and six months ended June 30, 2026 and 2025</w:t>
              </w:r>
            </w:hyperlink>
          </w:p>
        </w:tc>
        <w:tc>
          <w:tcPr>
            <w:tcW w:w="70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4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861" w:type="dxa"/>
            <w:tcBorders/>
            <w:shd w:fill="FFFFFF" w:val="clear"/>
            <w:vAlign w:val="center"/>
          </w:tcPr>
          <w:p>
            <w:pPr>
              <w:pStyle w:val="TableContents"/>
              <w:bidi w:val="0"/>
              <w:spacing w:before="0" w:after="283"/>
              <w:jc w:val="left"/>
              <w:rPr/>
            </w:pPr>
            <w:hyperlink w:anchor="sh_004">
              <w:r>
                <w:rPr>
                  <w:rStyle w:val="InternetLink"/>
                  <w:rFonts w:ascii="Times New Roman;Times;Serif" w:hAnsi="Times New Roman;Times;Serif"/>
                  <w:b w:val="false"/>
                  <w:i w:val="false"/>
                  <w:caps w:val="false"/>
                  <w:smallCaps w:val="false"/>
                  <w:sz w:val="20"/>
                </w:rPr>
                <w:t>Unaudited Condensed Consolidated Statements of Cash Flows for the six months ended June 30, 2026 and 2025</w:t>
              </w:r>
            </w:hyperlink>
          </w:p>
        </w:tc>
        <w:tc>
          <w:tcPr>
            <w:tcW w:w="70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4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861" w:type="dxa"/>
            <w:tcBorders/>
            <w:shd w:fill="CCEEFF" w:val="clear"/>
            <w:vAlign w:val="center"/>
          </w:tcPr>
          <w:p>
            <w:pPr>
              <w:pStyle w:val="TableContents"/>
              <w:bidi w:val="0"/>
              <w:spacing w:before="0" w:after="283"/>
              <w:jc w:val="left"/>
              <w:rPr/>
            </w:pPr>
            <w:hyperlink w:anchor="sh_005">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70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4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861" w:type="dxa"/>
            <w:tcBorders/>
            <w:shd w:fill="FFFFFF" w:val="clear"/>
            <w:vAlign w:val="center"/>
          </w:tcPr>
          <w:p>
            <w:pPr>
              <w:pStyle w:val="TableContents"/>
              <w:bidi w:val="0"/>
              <w:spacing w:before="0" w:after="283"/>
              <w:jc w:val="left"/>
              <w:rPr/>
            </w:pPr>
            <w:hyperlink w:anchor="sh_006">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70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64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861" w:type="dxa"/>
            <w:tcBorders/>
            <w:shd w:fill="CCEEFF" w:val="clear"/>
            <w:vAlign w:val="center"/>
          </w:tcPr>
          <w:p>
            <w:pPr>
              <w:pStyle w:val="TableContents"/>
              <w:bidi w:val="0"/>
              <w:spacing w:before="0" w:after="283"/>
              <w:jc w:val="left"/>
              <w:rPr/>
            </w:pPr>
            <w:hyperlink w:anchor="pp_001">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70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64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861" w:type="dxa"/>
            <w:tcBorders/>
            <w:shd w:fill="FFFFFF" w:val="clear"/>
            <w:vAlign w:val="center"/>
          </w:tcPr>
          <w:p>
            <w:pPr>
              <w:pStyle w:val="TableContents"/>
              <w:bidi w:val="0"/>
              <w:spacing w:before="0" w:after="283"/>
              <w:jc w:val="left"/>
              <w:rPr/>
            </w:pPr>
            <w:hyperlink w:anchor="pp_002">
              <w:r>
                <w:rPr>
                  <w:rStyle w:val="InternetLink"/>
                  <w:rFonts w:ascii="Times New Roman;Times;Serif" w:hAnsi="Times New Roman;Times;Serif"/>
                  <w:b w:val="false"/>
                  <w:i w:val="false"/>
                  <w:caps w:val="false"/>
                  <w:smallCaps w:val="false"/>
                  <w:sz w:val="20"/>
                </w:rPr>
                <w:t>Controls and Procedures</w:t>
              </w:r>
            </w:hyperlink>
          </w:p>
        </w:tc>
        <w:tc>
          <w:tcPr>
            <w:tcW w:w="70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9502" w:type="dxa"/>
            <w:gridSpan w:val="2"/>
            <w:tcBorders/>
            <w:shd w:fill="CCEEFF" w:val="clear"/>
            <w:vAlign w:val="center"/>
          </w:tcPr>
          <w:p>
            <w:pPr>
              <w:pStyle w:val="TableContents"/>
              <w:bidi w:val="0"/>
              <w:spacing w:before="0" w:after="283"/>
              <w:jc w:val="both"/>
              <w:rPr/>
            </w:pPr>
            <w:hyperlink w:anchor="pp_003">
              <w:r>
                <w:rPr>
                  <w:rStyle w:val="InternetLink"/>
                  <w:rFonts w:ascii="Times New Roman;Times;Serif" w:hAnsi="Times New Roman;Times;Serif"/>
                  <w:b/>
                  <w:i w:val="false"/>
                  <w:caps w:val="false"/>
                  <w:smallCaps w:val="false"/>
                  <w:sz w:val="20"/>
                </w:rPr>
                <w:t>PART II. OTHER INFORMATION</w:t>
              </w:r>
            </w:hyperlink>
          </w:p>
        </w:tc>
        <w:tc>
          <w:tcPr>
            <w:tcW w:w="703"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4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861" w:type="dxa"/>
            <w:tcBorders/>
            <w:shd w:fill="FFFFFF" w:val="clear"/>
            <w:vAlign w:val="center"/>
          </w:tcPr>
          <w:p>
            <w:pPr>
              <w:pStyle w:val="TableContents"/>
              <w:bidi w:val="0"/>
              <w:spacing w:before="0" w:after="283"/>
              <w:jc w:val="left"/>
              <w:rPr/>
            </w:pPr>
            <w:hyperlink w:anchor="pp_004">
              <w:r>
                <w:rPr>
                  <w:rStyle w:val="InternetLink"/>
                  <w:rFonts w:ascii="Times New Roman;Times;Serif" w:hAnsi="Times New Roman;Times;Serif"/>
                  <w:b w:val="false"/>
                  <w:i w:val="false"/>
                  <w:caps w:val="false"/>
                  <w:smallCaps w:val="false"/>
                  <w:sz w:val="20"/>
                </w:rPr>
                <w:t>Legal Proceedings</w:t>
              </w:r>
            </w:hyperlink>
          </w:p>
        </w:tc>
        <w:tc>
          <w:tcPr>
            <w:tcW w:w="70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64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861" w:type="dxa"/>
            <w:tcBorders/>
            <w:shd w:fill="CCEEFF" w:val="clear"/>
            <w:vAlign w:val="center"/>
          </w:tcPr>
          <w:p>
            <w:pPr>
              <w:pStyle w:val="TableContents"/>
              <w:bidi w:val="0"/>
              <w:spacing w:before="0" w:after="283"/>
              <w:jc w:val="left"/>
              <w:rPr/>
            </w:pPr>
            <w:hyperlink w:anchor="pp_005">
              <w:r>
                <w:rPr>
                  <w:rStyle w:val="InternetLink"/>
                  <w:rFonts w:ascii="Times New Roman;Times;Serif" w:hAnsi="Times New Roman;Times;Serif"/>
                  <w:b w:val="false"/>
                  <w:i w:val="false"/>
                  <w:caps w:val="false"/>
                  <w:smallCaps w:val="false"/>
                  <w:sz w:val="20"/>
                </w:rPr>
                <w:t>Risk Factors</w:t>
              </w:r>
            </w:hyperlink>
          </w:p>
        </w:tc>
        <w:tc>
          <w:tcPr>
            <w:tcW w:w="70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64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861" w:type="dxa"/>
            <w:tcBorders/>
            <w:shd w:fill="FFFFFF" w:val="clear"/>
            <w:vAlign w:val="center"/>
          </w:tcPr>
          <w:p>
            <w:pPr>
              <w:pStyle w:val="TableContents"/>
              <w:bidi w:val="0"/>
              <w:spacing w:before="0" w:after="283"/>
              <w:jc w:val="left"/>
              <w:rPr/>
            </w:pPr>
            <w:hyperlink w:anchor="pp_006">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70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64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861" w:type="dxa"/>
            <w:tcBorders/>
            <w:shd w:fill="CCEEFF" w:val="clear"/>
            <w:vAlign w:val="center"/>
          </w:tcPr>
          <w:p>
            <w:pPr>
              <w:pStyle w:val="TableContents"/>
              <w:bidi w:val="0"/>
              <w:spacing w:before="0" w:after="283"/>
              <w:jc w:val="left"/>
              <w:rPr/>
            </w:pPr>
            <w:hyperlink w:anchor="pp_007">
              <w:r>
                <w:rPr>
                  <w:rStyle w:val="InternetLink"/>
                  <w:rFonts w:ascii="Times New Roman;Times;Serif" w:hAnsi="Times New Roman;Times;Serif"/>
                  <w:b w:val="false"/>
                  <w:i w:val="false"/>
                  <w:caps w:val="false"/>
                  <w:smallCaps w:val="false"/>
                  <w:sz w:val="20"/>
                </w:rPr>
                <w:t>Defaults Upon Senior Securities</w:t>
              </w:r>
            </w:hyperlink>
          </w:p>
        </w:tc>
        <w:tc>
          <w:tcPr>
            <w:tcW w:w="70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64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861" w:type="dxa"/>
            <w:tcBorders/>
            <w:shd w:fill="FFFFFF" w:val="clear"/>
            <w:vAlign w:val="center"/>
          </w:tcPr>
          <w:p>
            <w:pPr>
              <w:pStyle w:val="TableContents"/>
              <w:bidi w:val="0"/>
              <w:spacing w:before="0" w:after="283"/>
              <w:jc w:val="left"/>
              <w:rPr/>
            </w:pPr>
            <w:hyperlink w:anchor="pp_008">
              <w:r>
                <w:rPr>
                  <w:rStyle w:val="InternetLink"/>
                  <w:rFonts w:ascii="Times New Roman;Times;Serif" w:hAnsi="Times New Roman;Times;Serif"/>
                  <w:b w:val="false"/>
                  <w:i w:val="false"/>
                  <w:caps w:val="false"/>
                  <w:smallCaps w:val="false"/>
                  <w:sz w:val="20"/>
                </w:rPr>
                <w:t>Mine Safety Disclosures</w:t>
              </w:r>
            </w:hyperlink>
          </w:p>
        </w:tc>
        <w:tc>
          <w:tcPr>
            <w:tcW w:w="70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64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861" w:type="dxa"/>
            <w:tcBorders/>
            <w:shd w:fill="CCEEFF" w:val="clear"/>
            <w:vAlign w:val="center"/>
          </w:tcPr>
          <w:p>
            <w:pPr>
              <w:pStyle w:val="TableContents"/>
              <w:bidi w:val="0"/>
              <w:spacing w:before="0" w:after="283"/>
              <w:jc w:val="left"/>
              <w:rPr/>
            </w:pPr>
            <w:hyperlink w:anchor="pp_009">
              <w:r>
                <w:rPr>
                  <w:rStyle w:val="InternetLink"/>
                  <w:rFonts w:ascii="Times New Roman;Times;Serif" w:hAnsi="Times New Roman;Times;Serif"/>
                  <w:b w:val="false"/>
                  <w:i w:val="false"/>
                  <w:caps w:val="false"/>
                  <w:smallCaps w:val="false"/>
                  <w:sz w:val="20"/>
                </w:rPr>
                <w:t>Other Information</w:t>
              </w:r>
            </w:hyperlink>
          </w:p>
        </w:tc>
        <w:tc>
          <w:tcPr>
            <w:tcW w:w="70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64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861" w:type="dxa"/>
            <w:tcBorders/>
            <w:shd w:fill="FFFFFF" w:val="clear"/>
            <w:vAlign w:val="center"/>
          </w:tcPr>
          <w:p>
            <w:pPr>
              <w:pStyle w:val="TableContents"/>
              <w:bidi w:val="0"/>
              <w:spacing w:before="0" w:after="283"/>
              <w:jc w:val="left"/>
              <w:rPr/>
            </w:pPr>
            <w:hyperlink w:anchor="pp_010">
              <w:r>
                <w:rPr>
                  <w:rStyle w:val="InternetLink"/>
                  <w:rFonts w:ascii="Times New Roman;Times;Serif" w:hAnsi="Times New Roman;Times;Serif"/>
                  <w:b w:val="false"/>
                  <w:i w:val="false"/>
                  <w:caps w:val="false"/>
                  <w:smallCaps w:val="false"/>
                  <w:sz w:val="20"/>
                </w:rPr>
                <w:t>Exhibits</w:t>
              </w:r>
            </w:hyperlink>
          </w:p>
        </w:tc>
        <w:tc>
          <w:tcPr>
            <w:tcW w:w="70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9502" w:type="dxa"/>
            <w:gridSpan w:val="2"/>
            <w:tcBorders/>
            <w:shd w:fill="CCEEFF" w:val="clear"/>
            <w:vAlign w:val="center"/>
          </w:tcPr>
          <w:p>
            <w:pPr>
              <w:pStyle w:val="TableContents"/>
              <w:bidi w:val="0"/>
              <w:spacing w:before="0" w:after="283"/>
              <w:jc w:val="both"/>
              <w:rPr/>
            </w:pPr>
            <w:hyperlink w:anchor="pp_011">
              <w:r>
                <w:rPr>
                  <w:rStyle w:val="InternetLink"/>
                  <w:rFonts w:ascii="Times New Roman;Times;Serif" w:hAnsi="Times New Roman;Times;Serif"/>
                  <w:b w:val="false"/>
                  <w:i w:val="false"/>
                  <w:caps w:val="false"/>
                  <w:smallCaps w:val="false"/>
                  <w:sz w:val="20"/>
                </w:rPr>
                <w:t>Signatures</w:t>
              </w:r>
            </w:hyperlink>
          </w:p>
        </w:tc>
        <w:tc>
          <w:tcPr>
            <w:tcW w:w="70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bl>
    <w:p>
      <w:pPr>
        <w:pStyle w:val="TextBody"/>
        <w:bidi w:val="0"/>
        <w:spacing w:before="0" w:after="0"/>
        <w:ind w:left="0" w:right="0" w:hanging="0"/>
        <w:jc w:val="center"/>
        <w:rPr>
          <w:caps/>
        </w:rPr>
      </w:pPr>
      <w:r>
        <w:rPr>
          <w: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bookmarkStart w:id="32" w:name="sh_001"/>
      <w:bookmarkEnd w:id="32"/>
      <w:r>
        <w:rPr>
          <w:rFonts w:ascii="Times New Roman;Times;Serif" w:hAnsi="Times New Roman;Times;Serif"/>
          <w:b/>
          <w:i w:val="false"/>
          <w:caps/>
          <w:sz w:val="20"/>
        </w:rPr>
        <w:t>Unaudited Condensed Consolidated Balance Sheets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3" w:name="xdx_302_111_pn3n3_z9tc3kozmpHe"/>
      <w:bookmarkStart w:id="34" w:name="xdx_302_111_pn3n3_z9tc3kozmpHe"/>
      <w:bookmarkEnd w:id="34"/>
    </w:p>
    <w:tbl>
      <w:tblPr>
        <w:tblW w:w="10205" w:type="dxa"/>
        <w:jc w:val="left"/>
        <w:tblInd w:w="0" w:type="dxa"/>
        <w:tblLayout w:type="fixed"/>
        <w:tblCellMar>
          <w:top w:w="0" w:type="dxa"/>
          <w:left w:w="0" w:type="dxa"/>
          <w:bottom w:w="0" w:type="dxa"/>
          <w:right w:w="0" w:type="dxa"/>
        </w:tblCellMar>
      </w:tblPr>
      <w:tblGrid>
        <w:gridCol w:w="8027"/>
        <w:gridCol w:w="60"/>
        <w:gridCol w:w="125"/>
        <w:gridCol w:w="755"/>
        <w:gridCol w:w="80"/>
        <w:gridCol w:w="60"/>
        <w:gridCol w:w="142"/>
        <w:gridCol w:w="860"/>
        <w:gridCol w:w="96"/>
      </w:tblGrid>
      <w:tr>
        <w:trPr/>
        <w:tc>
          <w:tcPr>
            <w:tcW w:w="802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5" w:name="xdx_495_20260630_zgZmaT6RdED8"/>
            <w:bookmarkEnd w:id="35"/>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6" w:name="xdx_49F_20251231_zK9COXi54nib"/>
            <w:bookmarkEnd w:id="36"/>
          </w:p>
        </w:tc>
        <w:tc>
          <w:tcPr>
            <w:tcW w:w="10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br/>
              <w:t>2025</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2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2"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6" w:type="dxa"/>
            <w:tcBorders/>
            <w:vAlign w:val="center"/>
          </w:tcPr>
          <w:p>
            <w:pPr>
              <w:pStyle w:val="TableContents"/>
              <w:bidi w:val="0"/>
              <w:spacing w:before="0" w:after="283"/>
              <w:jc w:val="left"/>
              <w:rPr>
                <w:caps w:val="false"/>
                <w:smallCaps w:val="false"/>
              </w:rPr>
            </w:pPr>
            <w:r>
              <w:rPr>
                <w:caps w:val="false"/>
                <w:smallCaps w:val="false"/>
              </w:rPr>
              <w:t> </w:t>
            </w:r>
            <w:bookmarkStart w:id="37" w:name="xdx_404_eus-gaap--AssetsCurrentAbstract_"/>
            <w:bookmarkEnd w:id="37"/>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8" w:name="xdx_40F_eus-gaap--CashAndCashEquivalents"/>
            <w:bookmarkEnd w:id="38"/>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18,270</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9" w:name="xdx_40E_eus-gaap--AccountsReceivableNetC"/>
            <w:bookmarkEnd w:id="39"/>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 for credit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4,215</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0" w:name="xdx_40A_eus-gaap--InventoryNet_i01I_maAC"/>
            <w:bookmarkEnd w:id="40"/>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24,234</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1" w:name="xdx_405_ecustom--PrepaidExpenseOtherThan"/>
            <w:bookmarkEnd w:id="41"/>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1,088</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2" w:name="xdx_40D_eus-gaap--Supplies_i01I_maACziZc"/>
            <w:bookmarkEnd w:id="42"/>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3" w:name="xdx_40F_eus-gaap--PrepaidTaxes_i01I_maAC"/>
            <w:bookmarkEnd w:id="43"/>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income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 w:name="xdx_40F_eus-gaap--OtherAssetsCurrent_i01"/>
            <w:bookmarkEnd w:id="44"/>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5" w:name="xdx_40A_eus-gaap--AssetsCurrent_i01TI_mt"/>
            <w:bookmarkEnd w:id="45"/>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50,180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6" w:name="xdx_404_eus-gaap--PropertyPlantAndEquipm"/>
            <w:bookmarkEnd w:id="46"/>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7" w:name="xdx_40D_eus-gaap--MachineryAndEquipmentG"/>
            <w:bookmarkEnd w:id="47"/>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17,794</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8" w:name="xdx_40A_eus-gaap--FurnitureAndFixturesGr"/>
            <w:bookmarkEnd w:id="48"/>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furniture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9" w:name="xdx_403_eus-gaap--LeaseholdImprovementsG"/>
            <w:bookmarkEnd w:id="49"/>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 w:name="xdx_401_ecustom--VehicleGross_i01I_maPPA"/>
            <w:bookmarkEnd w:id="50"/>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1" w:name="xdx_400_eus-gaap--PropertyPlantAndEquipm"/>
            <w:bookmarkEnd w:id="51"/>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25,822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2" w:name="xdx_401_eus-gaap--AccumulatedDepreciatio"/>
            <w:bookmarkEnd w:id="52"/>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(5,081</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3" w:name="xdx_407_eus-gaap--PropertyPlantAndEquipm"/>
            <w:bookmarkEnd w:id="53"/>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20,741</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4" w:name="xdx_407_eus-gaap--FiniteLivedIntangibleA"/>
            <w:bookmarkEnd w:id="54"/>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5" w:name="xdx_406_eus-gaap--OperatingLeaseRightOfU"/>
            <w:bookmarkEnd w:id="55"/>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 of use asset,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15,240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6" w:name="xdx_40C_eus-gaap--OtherAssetsNoncurrent_"/>
            <w:bookmarkEnd w:id="56"/>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7" w:name="xdx_40E_eus-gaap--Assets_iTI_mtAzDW7_zjq"/>
            <w:bookmarkEnd w:id="57"/>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86,549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8" w:name="xdx_40E_eus-gaap--LiabilitiesCurrentAbst"/>
            <w:bookmarkEnd w:id="58"/>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9" w:name="xdx_404_eus-gaap--AccountsPayableCurrent"/>
            <w:bookmarkEnd w:id="59"/>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0" w:name="xdx_40B_eus-gaap--EmployeeRelatedLiabili"/>
            <w:bookmarkEnd w:id="60"/>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payroll and 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1" w:name="xdx_406_eus-gaap--OtherAccruedLiabilitie"/>
            <w:bookmarkEnd w:id="61"/>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tariffs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2" w:name="xdx_408_eus-gaap--ContractWithCustomerLi"/>
            <w:bookmarkEnd w:id="62"/>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3" w:name="xdx_40D_eus-gaap--DeferredIncomeCurrent_"/>
            <w:bookmarkEnd w:id="63"/>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4" w:name="xdx_406_eus-gaap--DividendsPayableCurren"/>
            <w:bookmarkEnd w:id="64"/>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5" w:name="xdx_40A_eus-gaap--NotesPayableCurrent_i0"/>
            <w:bookmarkEnd w:id="65"/>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 current portion, net of debt issuance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6" w:name="xdx_40C_eus-gaap--OperatingLeaseLiabilit"/>
            <w:bookmarkEnd w:id="66"/>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liability,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7" w:name="xdx_409_eus-gaap--FinanceLeaseLiabilityC"/>
            <w:bookmarkEnd w:id="67"/>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lease liability,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8" w:name="xdx_40C_eus-gaap--LiabilitiesCurrent_i01"/>
            <w:bookmarkEnd w:id="68"/>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19,757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9" w:name="xdx_40C_eus-gaap--LiabilitiesNoncurrentA"/>
            <w:bookmarkEnd w:id="69"/>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0" w:name="xdx_40B_eus-gaap--DeferredRevenueNoncurr"/>
            <w:bookmarkEnd w:id="70"/>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net of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1" w:name="xdx_401_eus-gaap--DerivativeLiabilitiesN"/>
            <w:bookmarkEnd w:id="71"/>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2" w:name="xdx_40E_eus-gaap--LongTermNotesPayable_i"/>
            <w:bookmarkEnd w:id="72"/>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 non current portion, net of debt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9,212</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3" w:name="xdx_406_eus-gaap--OperatingLeaseLiabilit"/>
            <w:bookmarkEnd w:id="73"/>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liability, net of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20,470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4" w:name="xdx_40B_eus-gaap--FinanceLeaseLiabilityN"/>
            <w:bookmarkEnd w:id="74"/>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lease liability, net of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5" w:name="xdx_405_eus-gaap--LiabilitiesNoncurrent_"/>
            <w:bookmarkEnd w:id="75"/>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33,006</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6" w:name="xdx_40F_eus-gaap--Liabilities_i01TI_mtLz"/>
            <w:bookmarkEnd w:id="76"/>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52,763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7" w:name="xdx_40E_eus-gaap--CommitmentsAndContinge"/>
            <w:bookmarkEnd w:id="77"/>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 (See Note 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8" w:name="xdx_40B_eus-gaap--TemporaryEquityAbstrac"/>
            <w:bookmarkEnd w:id="78"/>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9" w:name="xdx_405_eus-gaap--TemporaryEquityCarryin"/>
            <w:bookmarkEnd w:id="79"/>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Preferred stock-Series B, </w:t>
            </w:r>
            <w:bookmarkStart w:id="80" w:name="xdx_90A_eus-gaap--TemporaryEquitySharesA"/>
            <w:bookmarkStart w:id="81" w:name="xdx_90F_eus-gaap--TemporaryEquitySharesA"/>
            <w:bookmarkEnd w:id="80"/>
            <w:bookmarkEnd w:id="81"/>
            <w:r>
              <w:rPr>
                <w:rFonts w:ascii="Times New Roman;Times;Serif" w:hAnsi="Times New Roman;Times;Serif"/>
                <w:b w:val="false"/>
                <w:i w:val="false"/>
                <w:caps w:val="false"/>
                <w:smallCaps w:val="false"/>
                <w:sz w:val="20"/>
              </w:rPr>
              <w:t>25,000 shares at $</w:t>
            </w:r>
            <w:bookmarkStart w:id="82" w:name="xdx_90F_eus-gaap--TemporaryEquityParOrSt"/>
            <w:bookmarkStart w:id="83" w:name="xdx_90C_eus-gaap--TemporaryEquityParOrSt"/>
            <w:bookmarkEnd w:id="82"/>
            <w:bookmarkEnd w:id="83"/>
            <w:r>
              <w:rPr>
                <w:rFonts w:ascii="Times New Roman;Times;Serif" w:hAnsi="Times New Roman;Times;Serif"/>
                <w:b w:val="false"/>
                <w:i w:val="false"/>
                <w:caps w:val="false"/>
                <w:smallCaps w:val="false"/>
                <w:sz w:val="20"/>
              </w:rPr>
              <w:t xml:space="preserve">0.0001 par value, authorized, </w:t>
            </w:r>
            <w:bookmarkStart w:id="84" w:name="xdx_907_eus-gaap--TemporaryEquitySharesO"/>
            <w:bookmarkStart w:id="85" w:name="xdx_906_eus-gaap--TemporaryEquitySharesI"/>
            <w:bookmarkEnd w:id="84"/>
            <w:bookmarkEnd w:id="85"/>
            <w:r>
              <w:rPr>
                <w:rFonts w:ascii="Times New Roman;Times;Serif" w:hAnsi="Times New Roman;Times;Serif"/>
                <w:b w:val="false"/>
                <w:i w:val="false"/>
                <w:caps w:val="false"/>
                <w:smallCaps w:val="false"/>
                <w:sz w:val="20"/>
              </w:rPr>
              <w:t xml:space="preserve">25,000 and </w:t>
            </w:r>
            <w:bookmarkStart w:id="86" w:name="xdx_90D_eus-gaap--TemporaryEquitySharesO"/>
            <w:bookmarkStart w:id="87" w:name="xdx_909_eus-gaap--TemporaryEquitySharesI"/>
            <w:bookmarkEnd w:id="86"/>
            <w:bookmarkEnd w:id="87"/>
            <w:r>
              <w:rPr>
                <w:rFonts w:ascii="Times New Roman;Times;Serif" w:hAnsi="Times New Roman;Times;Serif"/>
                <w:b w:val="false"/>
                <w:i w:val="false"/>
                <w:caps w:val="false"/>
                <w:smallCaps w:val="false"/>
                <w:sz w:val="20"/>
              </w:rPr>
              <w:t>25,000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22,256</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8" w:name="xdx_406_eus-gaap--TemporaryEquityCarryin"/>
            <w:bookmarkEnd w:id="88"/>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22,256</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9" w:name="xdx_40F_eus-gaap--StockholdersEquityAbst"/>
            <w:bookmarkEnd w:id="89"/>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0" w:name="xdx_404_eus-gaap--PreferredStockValue_i0"/>
            <w:bookmarkEnd w:id="90"/>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Preferred stock, </w:t>
            </w:r>
            <w:bookmarkStart w:id="91" w:name="xdx_90D_eus-gaap--PreferredStockSharesAu"/>
            <w:bookmarkStart w:id="92" w:name="xdx_906_eus-gaap--PreferredStockSharesAu"/>
            <w:bookmarkEnd w:id="91"/>
            <w:bookmarkEnd w:id="92"/>
            <w:r>
              <w:rPr>
                <w:rFonts w:ascii="Times New Roman;Times;Serif" w:hAnsi="Times New Roman;Times;Serif"/>
                <w:b w:val="false"/>
                <w:i w:val="false"/>
                <w:caps w:val="false"/>
                <w:smallCaps w:val="false"/>
                <w:sz w:val="20"/>
              </w:rPr>
              <w:t>4,995,000 shares at $</w:t>
            </w:r>
            <w:bookmarkStart w:id="93" w:name="xdx_902_eus-gaap--PreferredStockParOrSta"/>
            <w:bookmarkStart w:id="94" w:name="xdx_907_eus-gaap--PreferredStockParOrSta"/>
            <w:bookmarkEnd w:id="93"/>
            <w:bookmarkEnd w:id="94"/>
            <w:r>
              <w:rPr>
                <w:rFonts w:ascii="Times New Roman;Times;Serif" w:hAnsi="Times New Roman;Times;Serif"/>
                <w:b w:val="false"/>
                <w:i w:val="false"/>
                <w:caps w:val="false"/>
                <w:smallCaps w:val="false"/>
                <w:sz w:val="20"/>
              </w:rPr>
              <w:t xml:space="preserve">0.0001 par value, authorized, </w:t>
            </w:r>
            <w:bookmarkStart w:id="95" w:name="xdx_90C_eus-gaap--PreferredStockSharesOu"/>
            <w:bookmarkStart w:id="96" w:name="xdx_903_eus-gaap--PreferredStockSharesIs"/>
            <w:bookmarkStart w:id="97" w:name="xdx_901_eus-gaap--PreferredStockSharesOu"/>
            <w:bookmarkStart w:id="98" w:name="xdx_909_eus-gaap--PreferredStockSharesIs"/>
            <w:bookmarkEnd w:id="95"/>
            <w:bookmarkEnd w:id="96"/>
            <w:bookmarkEnd w:id="97"/>
            <w:bookmarkEnd w:id="98"/>
            <w:r>
              <w:rPr>
                <w:rFonts w:ascii="Times New Roman;Times;Serif" w:hAnsi="Times New Roman;Times;Serif"/>
                <w:b w:val="false"/>
                <w:i w:val="false"/>
                <w:caps w:val="false"/>
                <w:smallCaps w:val="false"/>
                <w:sz w:val="20"/>
              </w:rPr>
              <w:t>no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9" w:name="xdx_402_eus-gaap--CommonStockValue_i01I_"/>
            <w:bookmarkEnd w:id="99"/>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w:t>
            </w:r>
            <w:bookmarkStart w:id="100" w:name="xdx_900_eus-gaap--CommonStockSharesAutho"/>
            <w:bookmarkStart w:id="101" w:name="xdx_904_eus-gaap--CommonStockSharesAutho"/>
            <w:bookmarkEnd w:id="100"/>
            <w:bookmarkEnd w:id="101"/>
            <w:r>
              <w:rPr>
                <w:rFonts w:ascii="Times New Roman;Times;Serif" w:hAnsi="Times New Roman;Times;Serif"/>
                <w:b w:val="false"/>
                <w:i w:val="false"/>
                <w:caps w:val="false"/>
                <w:smallCaps w:val="false"/>
                <w:sz w:val="20"/>
              </w:rPr>
              <w:t>400,000,000 shares at $</w:t>
            </w:r>
            <w:bookmarkStart w:id="102" w:name="xdx_907_eus-gaap--CommonStockParOrStated"/>
            <w:bookmarkStart w:id="103" w:name="xdx_902_eus-gaap--CommonStockParOrStated"/>
            <w:bookmarkEnd w:id="102"/>
            <w:bookmarkEnd w:id="103"/>
            <w:r>
              <w:rPr>
                <w:rFonts w:ascii="Times New Roman;Times;Serif" w:hAnsi="Times New Roman;Times;Serif"/>
                <w:b w:val="false"/>
                <w:i w:val="false"/>
                <w:caps w:val="false"/>
                <w:smallCaps w:val="false"/>
                <w:sz w:val="20"/>
              </w:rPr>
              <w:t xml:space="preserve">0.0001 par value, authorized, </w:t>
            </w:r>
            <w:bookmarkStart w:id="104" w:name="xdx_902_eus-gaap--CommonStockSharesOutst"/>
            <w:bookmarkStart w:id="105" w:name="xdx_907_eus-gaap--CommonStockSharesIssue"/>
            <w:bookmarkEnd w:id="104"/>
            <w:bookmarkEnd w:id="105"/>
            <w:r>
              <w:rPr>
                <w:rFonts w:ascii="Times New Roman;Times;Serif" w:hAnsi="Times New Roman;Times;Serif"/>
                <w:b w:val="false"/>
                <w:i w:val="false"/>
                <w:caps w:val="false"/>
                <w:smallCaps w:val="false"/>
                <w:sz w:val="20"/>
              </w:rPr>
              <w:t xml:space="preserve">13,353,812 and </w:t>
            </w:r>
            <w:bookmarkStart w:id="106" w:name="xdx_906_eus-gaap--CommonStockSharesOutst"/>
            <w:bookmarkStart w:id="107" w:name="xdx_901_eus-gaap--CommonStockSharesIssue"/>
            <w:bookmarkEnd w:id="106"/>
            <w:bookmarkEnd w:id="107"/>
            <w:r>
              <w:rPr>
                <w:rFonts w:ascii="Times New Roman;Times;Serif" w:hAnsi="Times New Roman;Times;Serif"/>
                <w:b w:val="false"/>
                <w:i w:val="false"/>
                <w:caps w:val="false"/>
                <w:smallCaps w:val="false"/>
                <w:sz w:val="20"/>
              </w:rPr>
              <w:t>12,078,713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8" w:name="xdx_406_eus-gaap--AdditionalPaidInCapita"/>
            <w:bookmarkEnd w:id="108"/>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 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162,919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163,622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9" w:name="xdx_402_eus-gaap--RetainedEarningsAccumu"/>
            <w:bookmarkEnd w:id="109"/>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(163,104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(152,093</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10" w:name="xdx_40F_eus-gaap--StockholdersEquity_i01"/>
            <w:bookmarkEnd w:id="110"/>
          </w:p>
        </w:tc>
      </w:tr>
      <w:tr>
        <w:trPr/>
        <w:tc>
          <w:tcPr>
            <w:tcW w:w="802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 Equity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11,530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1" w:name="xdx_401_eus-gaap--LiabilitiesAndStockhol"/>
            <w:bookmarkEnd w:id="111"/>
          </w:p>
        </w:tc>
      </w:tr>
      <w:tr>
        <w:trPr/>
        <w:tc>
          <w:tcPr>
            <w:tcW w:w="802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Stockholders’ Equity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86,549</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bookmarkStart w:id="112" w:name="sh_002"/>
      <w:bookmarkEnd w:id="112"/>
      <w:r>
        <w:rPr>
          <w:rFonts w:ascii="Times New Roman;Times;Serif" w:hAnsi="Times New Roman;Times;Serif"/>
          <w:b/>
          <w:i w:val="false"/>
          <w:caps/>
          <w:sz w:val="20"/>
        </w:rPr>
        <w:t>Unaudited Condensed Consolidated Statements of Operations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 the Three and Six Months Ended June 30, 2026 and 2025</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Normal"/>
        <w:bidi w:val="0"/>
        <w:spacing w:before="0" w:after="0"/>
        <w:jc w:val="left"/>
        <w:rPr>
          <w:sz w:val="4"/>
          <w:szCs w:val="4"/>
        </w:rPr>
      </w:pPr>
      <w:r>
        <w:rPr>
          <w:sz w:val="4"/>
          <w:szCs w:val="4"/>
        </w:rPr>
      </w:r>
      <w:bookmarkStart w:id="113" w:name="xdx_30F_113_pn3n3_zmePVerYm5A9"/>
      <w:bookmarkStart w:id="114" w:name="xdx_30F_113_pn3n3_zmePVerYm5A9"/>
      <w:bookmarkEnd w:id="114"/>
    </w:p>
    <w:tbl>
      <w:tblPr>
        <w:tblW w:w="10205" w:type="dxa"/>
        <w:jc w:val="left"/>
        <w:tblInd w:w="0" w:type="dxa"/>
        <w:tblLayout w:type="fixed"/>
        <w:tblCellMar>
          <w:top w:w="0" w:type="dxa"/>
          <w:left w:w="0" w:type="dxa"/>
          <w:bottom w:w="0" w:type="dxa"/>
          <w:right w:w="0" w:type="dxa"/>
        </w:tblCellMar>
      </w:tblPr>
      <w:tblGrid>
        <w:gridCol w:w="5030"/>
        <w:gridCol w:w="60"/>
        <w:gridCol w:w="140"/>
        <w:gridCol w:w="1100"/>
        <w:gridCol w:w="95"/>
        <w:gridCol w:w="60"/>
        <w:gridCol w:w="140"/>
        <w:gridCol w:w="980"/>
        <w:gridCol w:w="95"/>
        <w:gridCol w:w="60"/>
        <w:gridCol w:w="140"/>
        <w:gridCol w:w="1100"/>
        <w:gridCol w:w="95"/>
        <w:gridCol w:w="60"/>
        <w:gridCol w:w="140"/>
        <w:gridCol w:w="800"/>
        <w:gridCol w:w="110"/>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115" w:name="xdx_496_20260401__20260630_zG2nMagyh3Lh"/>
            <w:bookmarkEnd w:id="115"/>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6" w:name="xdx_496_20250401__20250630_zQhBRy5hqDH5"/>
            <w:bookmarkEnd w:id="116"/>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7" w:name="xdx_491_20260101__20260630_zU6UbtfGlmn4"/>
            <w:bookmarkEnd w:id="117"/>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8" w:name="xdx_499_20250101__20250630_zkfeLWRQFEWf"/>
            <w:bookmarkEnd w:id="118"/>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3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tc>
        <w:tc>
          <w:tcPr>
            <w:tcW w:w="110" w:type="dxa"/>
            <w:tcBorders/>
            <w:vAlign w:val="center"/>
          </w:tcPr>
          <w:p>
            <w:pPr>
              <w:pStyle w:val="TableContents"/>
              <w:bidi w:val="0"/>
              <w:spacing w:before="0" w:after="283"/>
              <w:jc w:val="center"/>
              <w:rPr/>
            </w:pPr>
            <w:r>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19" w:name="xdx_40F_eus-gaap--RevenueFromContractWit"/>
            <w:bookmarkEnd w:id="119"/>
          </w:p>
        </w:tc>
      </w:tr>
      <w:tr>
        <w:trPr/>
        <w:tc>
          <w:tcPr>
            <w:tcW w:w="503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13,159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16,248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22,863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29,604</w:t>
            </w:r>
          </w:p>
        </w:tc>
        <w:tc>
          <w:tcPr>
            <w:tcW w:w="11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0" w:name="xdx_409_eus-gaap--CostOfGoodsAndServices"/>
            <w:bookmarkEnd w:id="120"/>
          </w:p>
        </w:tc>
      </w:tr>
      <w:tr>
        <w:trPr/>
        <w:tc>
          <w:tcPr>
            <w:tcW w:w="5030" w:type="dxa"/>
            <w:tcBorders/>
            <w:shd w:fill="CCEEFF" w:val="clear"/>
            <w:vAlign w:val="center"/>
          </w:tcPr>
          <w:p>
            <w:pPr>
              <w:pStyle w:val="TableContents"/>
              <w:bidi w:val="0"/>
              <w:spacing w:before="0" w:after="283"/>
              <w:jc w:val="left"/>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16,810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21,071</w:t>
            </w:r>
          </w:p>
        </w:tc>
        <w:tc>
          <w:tcPr>
            <w:tcW w:w="11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1" w:name="xdx_40A_eus-gaap--GrossProfit_iT_mtCzcNX"/>
            <w:bookmarkEnd w:id="121"/>
          </w:p>
        </w:tc>
      </w:tr>
      <w:tr>
        <w:trPr/>
        <w:tc>
          <w:tcPr>
            <w:tcW w:w="503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8,533</w:t>
            </w:r>
          </w:p>
        </w:tc>
        <w:tc>
          <w:tcPr>
            <w:tcW w:w="11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2" w:name="xdx_408_eus-gaap--OperatingExpensesAbstr"/>
            <w:bookmarkEnd w:id="122"/>
          </w:p>
        </w:tc>
      </w:tr>
      <w:tr>
        <w:trPr/>
        <w:tc>
          <w:tcPr>
            <w:tcW w:w="503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3" w:name="xdx_402_eus-gaap--ResearchAndDevelopment"/>
            <w:bookmarkEnd w:id="123"/>
          </w:p>
        </w:tc>
      </w:tr>
      <w:tr>
        <w:trPr/>
        <w:tc>
          <w:tcPr>
            <w:tcW w:w="503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1,692</w:t>
            </w:r>
          </w:p>
        </w:tc>
        <w:tc>
          <w:tcPr>
            <w:tcW w:w="110" w:type="dxa"/>
            <w:tcBorders/>
            <w:shd w:fill="FFFFFF" w:val="clear"/>
            <w:vAlign w:val="center"/>
          </w:tcPr>
          <w:p>
            <w:pPr>
              <w:pStyle w:val="TableContents"/>
              <w:bidi w:val="0"/>
              <w:spacing w:before="0" w:after="283"/>
              <w:jc w:val="left"/>
              <w:rPr/>
            </w:pPr>
            <w:r>
              <w:rPr/>
              <w:t> </w:t>
            </w:r>
            <w:bookmarkStart w:id="124" w:name="xdx_40F_eus-gaap--GeneralAndAdministrati"/>
            <w:bookmarkEnd w:id="124"/>
          </w:p>
        </w:tc>
      </w:tr>
      <w:tr>
        <w:trPr/>
        <w:tc>
          <w:tcPr>
            <w:tcW w:w="503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10,976</w:t>
            </w:r>
          </w:p>
        </w:tc>
        <w:tc>
          <w:tcPr>
            <w:tcW w:w="110" w:type="dxa"/>
            <w:tcBorders/>
            <w:shd w:fill="CCEEFF" w:val="clear"/>
            <w:vAlign w:val="center"/>
          </w:tcPr>
          <w:p>
            <w:pPr>
              <w:pStyle w:val="TableContents"/>
              <w:bidi w:val="0"/>
              <w:spacing w:before="0" w:after="283"/>
              <w:jc w:val="left"/>
              <w:rPr/>
            </w:pPr>
            <w:r>
              <w:rPr/>
              <w:t> </w:t>
            </w:r>
            <w:bookmarkStart w:id="125" w:name="xdx_402_eus-gaap--SellingAndMarketingExp"/>
            <w:bookmarkEnd w:id="125"/>
          </w:p>
        </w:tc>
      </w:tr>
      <w:tr>
        <w:trPr/>
        <w:tc>
          <w:tcPr>
            <w:tcW w:w="503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2,575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3,952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5,060</w:t>
            </w:r>
          </w:p>
        </w:tc>
        <w:tc>
          <w:tcPr>
            <w:tcW w:w="11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6" w:name="xdx_407_eus-gaap--OperatingExpenses_i01T"/>
            <w:bookmarkEnd w:id="126"/>
          </w:p>
        </w:tc>
      </w:tr>
      <w:tr>
        <w:trPr/>
        <w:tc>
          <w:tcPr>
            <w:tcW w:w="503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7,242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17,728</w:t>
            </w:r>
          </w:p>
        </w:tc>
        <w:tc>
          <w:tcPr>
            <w:tcW w:w="11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7" w:name="xdx_40C_eus-gaap--OperatingIncomeLoss_iT"/>
            <w:bookmarkEnd w:id="127"/>
          </w:p>
        </w:tc>
      </w:tr>
      <w:tr>
        <w:trPr/>
        <w:tc>
          <w:tcPr>
            <w:tcW w:w="5030"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(3,281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(8,626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(9,195</w:t>
            </w:r>
          </w:p>
        </w:tc>
        <w:tc>
          <w:tcPr>
            <w:tcW w:w="110" w:type="dxa"/>
            <w:tcBorders/>
            <w:shd w:fill="FFFFFF" w:val="clear"/>
            <w:vAlign w:val="center"/>
          </w:tcPr>
          <w:p>
            <w:pPr>
              <w:pStyle w:val="TableContents"/>
              <w:bidi w:val="0"/>
              <w:spacing w:before="0" w:after="283"/>
              <w:jc w:val="left"/>
              <w:rPr/>
            </w:pPr>
            <w:r>
              <w:rPr/>
              <w:t>)</w:t>
            </w:r>
          </w:p>
        </w:tc>
      </w:tr>
      <w:tr>
        <w:trPr/>
        <w:tc>
          <w:tcPr>
            <w:tcW w:w="50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8" w:name="xdx_402_eus-gaap--NonoperatingIncomeExpe"/>
            <w:bookmarkEnd w:id="128"/>
          </w:p>
        </w:tc>
      </w:tr>
      <w:tr>
        <w:trPr/>
        <w:tc>
          <w:tcPr>
            <w:tcW w:w="5030" w:type="dxa"/>
            <w:tcBorders/>
            <w:shd w:fill="FFFFFF" w:val="clear"/>
            <w:vAlign w:val="center"/>
          </w:tcPr>
          <w:p>
            <w:pPr>
              <w:pStyle w:val="TableContents"/>
              <w:bidi w:val="0"/>
              <w:spacing w:before="0" w:after="283"/>
              <w:jc w:val="left"/>
              <w:rPr>
                <w:b/>
              </w:rPr>
            </w:pPr>
            <w:r>
              <w:rPr>
                <w:b/>
              </w:rPr>
              <w:t>Other (Expense)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9" w:name="xdx_40A_eus-gaap--InterestExpenseNonoper"/>
            <w:bookmarkEnd w:id="129"/>
          </w:p>
        </w:tc>
      </w:tr>
      <w:tr>
        <w:trPr/>
        <w:tc>
          <w:tcPr>
            <w:tcW w:w="503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(10,143</w:t>
            </w:r>
          </w:p>
        </w:tc>
        <w:tc>
          <w:tcPr>
            <w:tcW w:w="110" w:type="dxa"/>
            <w:tcBorders/>
            <w:shd w:fill="CCEEFF" w:val="clear"/>
            <w:vAlign w:val="center"/>
          </w:tcPr>
          <w:p>
            <w:pPr>
              <w:pStyle w:val="TableContents"/>
              <w:bidi w:val="0"/>
              <w:spacing w:before="0" w:after="283"/>
              <w:jc w:val="left"/>
              <w:rPr/>
            </w:pPr>
            <w:r>
              <w:rPr/>
              <w:t>)</w:t>
            </w:r>
            <w:bookmarkStart w:id="130" w:name="xdx_40F_eus-gaap--OtherNonoperatingIncom"/>
            <w:bookmarkEnd w:id="130"/>
          </w:p>
        </w:tc>
      </w:tr>
      <w:tr>
        <w:trPr/>
        <w:tc>
          <w:tcPr>
            <w:tcW w:w="503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31" w:name="xdx_405_eus-gaap--FairValueAdjustmentOfW"/>
            <w:bookmarkEnd w:id="131"/>
          </w:p>
        </w:tc>
      </w:tr>
      <w:tr>
        <w:trPr/>
        <w:tc>
          <w:tcPr>
            <w:tcW w:w="503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1,689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5,507</w:t>
            </w:r>
          </w:p>
        </w:tc>
        <w:tc>
          <w:tcPr>
            <w:tcW w:w="110" w:type="dxa"/>
            <w:tcBorders/>
            <w:shd w:fill="CCEEFF" w:val="clear"/>
            <w:vAlign w:val="center"/>
          </w:tcPr>
          <w:p>
            <w:pPr>
              <w:pStyle w:val="TableContents"/>
              <w:bidi w:val="0"/>
              <w:spacing w:before="0" w:after="283"/>
              <w:jc w:val="left"/>
              <w:rPr/>
            </w:pPr>
            <w:r>
              <w:rPr/>
              <w:t> </w:t>
            </w:r>
            <w:bookmarkStart w:id="132" w:name="xdx_401_eus-gaap--NonoperatingIncomeExpe"/>
            <w:bookmarkEnd w:id="132"/>
          </w:p>
        </w:tc>
      </w:tr>
      <w:tr>
        <w:trPr/>
        <w:tc>
          <w:tcPr>
            <w:tcW w:w="5030" w:type="dxa"/>
            <w:tcBorders/>
            <w:shd w:fill="FFFFFF" w:val="clear"/>
            <w:vAlign w:val="center"/>
          </w:tcPr>
          <w:p>
            <w:pPr>
              <w:pStyle w:val="TableContents"/>
              <w:bidi w:val="0"/>
              <w:spacing w:before="0" w:after="283"/>
              <w:jc w:val="left"/>
              <w:rPr>
                <w:b/>
              </w:rPr>
            </w:pPr>
            <w:r>
              <w:rPr>
                <w:b/>
              </w:rPr>
              <w:t>Total 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(3,753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(2,385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(4,636</w:t>
            </w:r>
          </w:p>
        </w:tc>
        <w:tc>
          <w:tcPr>
            <w:tcW w:w="110" w:type="dxa"/>
            <w:tcBorders/>
            <w:shd w:fill="FFFFFF" w:val="clear"/>
            <w:vAlign w:val="center"/>
          </w:tcPr>
          <w:p>
            <w:pPr>
              <w:pStyle w:val="TableContents"/>
              <w:bidi w:val="0"/>
              <w:spacing w:before="0" w:after="283"/>
              <w:jc w:val="left"/>
              <w:rPr/>
            </w:pPr>
            <w:r>
              <w:rPr/>
              <w:t>)</w:t>
            </w:r>
          </w:p>
        </w:tc>
      </w:tr>
      <w:tr>
        <w:trPr/>
        <w:tc>
          <w:tcPr>
            <w:tcW w:w="50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3" w:name="xdx_401_eus-gaap--IncomeLossFromContinui"/>
            <w:bookmarkEnd w:id="133"/>
          </w:p>
        </w:tc>
      </w:tr>
      <w:tr>
        <w:trPr/>
        <w:tc>
          <w:tcPr>
            <w:tcW w:w="5030" w:type="dxa"/>
            <w:tcBorders/>
            <w:shd w:fill="FFFFFF" w:val="clear"/>
            <w:vAlign w:val="center"/>
          </w:tcPr>
          <w:p>
            <w:pPr>
              <w:pStyle w:val="TableContents"/>
              <w:bidi w:val="0"/>
              <w:spacing w:before="0" w:after="283"/>
              <w:jc w:val="left"/>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(4,386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(7,034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(11,011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(13,831</w:t>
            </w:r>
          </w:p>
        </w:tc>
        <w:tc>
          <w:tcPr>
            <w:tcW w:w="110" w:type="dxa"/>
            <w:tcBorders/>
            <w:shd w:fill="FFFFFF" w:val="clear"/>
            <w:vAlign w:val="center"/>
          </w:tcPr>
          <w:p>
            <w:pPr>
              <w:pStyle w:val="TableContents"/>
              <w:bidi w:val="0"/>
              <w:spacing w:before="0" w:after="283"/>
              <w:jc w:val="left"/>
              <w:rPr/>
            </w:pPr>
            <w:r>
              <w:rPr/>
              <w:t>)</w:t>
            </w:r>
          </w:p>
        </w:tc>
      </w:tr>
      <w:tr>
        <w:trPr/>
        <w:tc>
          <w:tcPr>
            <w:tcW w:w="50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4" w:name="xdx_408_eus-gaap--IncomeTaxExpenseBenefi"/>
            <w:bookmarkEnd w:id="134"/>
          </w:p>
        </w:tc>
      </w:tr>
      <w:tr>
        <w:trPr/>
        <w:tc>
          <w:tcPr>
            <w:tcW w:w="5030" w:type="dxa"/>
            <w:tcBorders/>
            <w:shd w:fill="FFFFFF" w:val="clear"/>
            <w:vAlign w:val="center"/>
          </w:tcPr>
          <w:p>
            <w:pPr>
              <w:pStyle w:val="TableContents"/>
              <w:bidi w:val="0"/>
              <w:spacing w:before="0" w:after="283"/>
              <w:jc w:val="left"/>
              <w:rPr>
                <w:b/>
              </w:rPr>
            </w:pPr>
            <w:r>
              <w:rPr>
                <w:b/>
              </w:rPr>
              <w:t>Income Tax Expense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5" w:name="xdx_40E_eus-gaap--NetIncomeLoss_iT_mtCzM"/>
            <w:bookmarkEnd w:id="135"/>
          </w:p>
        </w:tc>
      </w:tr>
      <w:tr>
        <w:trPr/>
        <w:tc>
          <w:tcPr>
            <w:tcW w:w="503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(4,386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(7,034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(11,011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(13,831</w:t>
            </w:r>
          </w:p>
        </w:tc>
        <w:tc>
          <w:tcPr>
            <w:tcW w:w="110" w:type="dxa"/>
            <w:tcBorders/>
            <w:shd w:fill="FFFFFF" w:val="clear"/>
            <w:vAlign w:val="center"/>
          </w:tcPr>
          <w:p>
            <w:pPr>
              <w:pStyle w:val="TableContents"/>
              <w:bidi w:val="0"/>
              <w:spacing w:before="0" w:after="283"/>
              <w:jc w:val="left"/>
              <w:rPr/>
            </w:pPr>
            <w:r>
              <w:rPr/>
              <w:t>)</w:t>
            </w:r>
            <w:bookmarkStart w:id="136" w:name="xdx_40E_eus-gaap--PreferredStockDividend"/>
            <w:bookmarkEnd w:id="136"/>
          </w:p>
        </w:tc>
      </w:tr>
      <w:tr>
        <w:trPr/>
        <w:tc>
          <w:tcPr>
            <w:tcW w:w="5030" w:type="dxa"/>
            <w:tcBorders/>
            <w:shd w:fill="CCEEFF" w:val="clear"/>
            <w:vAlign w:val="center"/>
          </w:tcPr>
          <w:p>
            <w:pPr>
              <w:pStyle w:val="TableContents"/>
              <w:bidi w:val="0"/>
              <w:spacing w:before="0" w:after="283"/>
              <w:jc w:val="left"/>
              <w:rPr/>
            </w:pPr>
            <w:r>
              <w:rPr/>
              <w:t>Less: Preferred Stock Dividends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(2,226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bookmarkStart w:id="137" w:name="xdx_406_eus-gaap--NetIncomeLossAvailable"/>
            <w:bookmarkEnd w:id="137"/>
          </w:p>
        </w:tc>
      </w:tr>
      <w:tr>
        <w:trPr/>
        <w:tc>
          <w:tcPr>
            <w:tcW w:w="5030" w:type="dxa"/>
            <w:tcBorders/>
            <w:shd w:fill="FFFFFF" w:val="clear"/>
            <w:vAlign w:val="center"/>
          </w:tcPr>
          <w:p>
            <w:pPr>
              <w:pStyle w:val="TableContents"/>
              <w:bidi w:val="0"/>
              <w:spacing w:before="0" w:after="283"/>
              <w:jc w:val="left"/>
              <w:rPr>
                <w:b/>
              </w:rPr>
            </w:pPr>
            <w:r>
              <w:rPr>
                <w:b/>
              </w:rPr>
              <w:t>Net Loss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(5,517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(7,034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(13,237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(13,831</w:t>
            </w:r>
          </w:p>
        </w:tc>
        <w:tc>
          <w:tcPr>
            <w:tcW w:w="110" w:type="dxa"/>
            <w:tcBorders/>
            <w:shd w:fill="FFFFFF" w:val="clear"/>
            <w:vAlign w:val="center"/>
          </w:tcPr>
          <w:p>
            <w:pPr>
              <w:pStyle w:val="TableContents"/>
              <w:bidi w:val="0"/>
              <w:spacing w:before="0" w:after="283"/>
              <w:jc w:val="left"/>
              <w:rPr/>
            </w:pPr>
            <w:r>
              <w:rPr/>
              <w:t>)</w:t>
            </w:r>
          </w:p>
        </w:tc>
      </w:tr>
      <w:tr>
        <w:trPr/>
        <w:tc>
          <w:tcPr>
            <w:tcW w:w="50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pPr>
            <w:r>
              <w:rPr/>
              <w:t>Loss Per Share- Basic &amp;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38" w:name="xdx_908_eus-gaap--EarningsPerShareDilute"/>
            <w:bookmarkStart w:id="139" w:name="xdx_904_eus-gaap--EarningsPerShareBasic_"/>
            <w:bookmarkEnd w:id="138"/>
            <w:bookmarkEnd w:id="139"/>
            <w:r>
              <w:rPr/>
              <w:t>(0.43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40" w:name="xdx_908_eus-gaap--EarningsPerShareDilute"/>
            <w:bookmarkStart w:id="141" w:name="xdx_905_eus-gaap--EarningsPerShareBasic_"/>
            <w:bookmarkEnd w:id="140"/>
            <w:bookmarkEnd w:id="141"/>
            <w:r>
              <w:rPr/>
              <w:t>(5.77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42" w:name="xdx_904_eus-gaap--EarningsPerShareDilute"/>
            <w:bookmarkStart w:id="143" w:name="xdx_907_eus-gaap--EarningsPerShareBasic_"/>
            <w:bookmarkEnd w:id="142"/>
            <w:bookmarkEnd w:id="143"/>
            <w:r>
              <w:rPr/>
              <w:t>(1.07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44" w:name="xdx_902_eus-gaap--EarningsPerShareDilute"/>
            <w:bookmarkStart w:id="145" w:name="xdx_903_eus-gaap--EarningsPerShareBasic_"/>
            <w:bookmarkEnd w:id="144"/>
            <w:bookmarkEnd w:id="145"/>
            <w:r>
              <w:rPr/>
              <w:t>(14.17</w:t>
            </w:r>
          </w:p>
        </w:tc>
        <w:tc>
          <w:tcPr>
            <w:tcW w:w="110" w:type="dxa"/>
            <w:tcBorders/>
            <w:shd w:fill="FFFFFF" w:val="clear"/>
            <w:vAlign w:val="center"/>
          </w:tcPr>
          <w:p>
            <w:pPr>
              <w:pStyle w:val="TableContents"/>
              <w:bidi w:val="0"/>
              <w:spacing w:before="0" w:after="283"/>
              <w:jc w:val="left"/>
              <w:rPr/>
            </w:pPr>
            <w:r>
              <w:rPr/>
              <w:t>)</w:t>
            </w:r>
          </w:p>
        </w:tc>
      </w:tr>
      <w:tr>
        <w:trPr/>
        <w:tc>
          <w:tcPr>
            <w:tcW w:w="50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pPr>
            <w:r>
              <w:rPr/>
              <w:t>Weighted Average Number of Shares - Basic &amp;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46" w:name="xdx_90E_eus-gaap--WeightedAverageNumberO"/>
            <w:bookmarkStart w:id="147" w:name="xdx_909_eus-gaap--WeightedAverageNumberO"/>
            <w:bookmarkEnd w:id="146"/>
            <w:bookmarkEnd w:id="147"/>
            <w:r>
              <w:rPr/>
              <w:t>12,688,511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48" w:name="xdx_907_eus-gaap--WeightedAverageNumberO"/>
            <w:bookmarkStart w:id="149" w:name="xdx_90A_eus-gaap--WeightedAverageNumberO"/>
            <w:bookmarkEnd w:id="148"/>
            <w:bookmarkEnd w:id="149"/>
            <w:r>
              <w:rPr/>
              <w:t>1,218,808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50" w:name="xdx_905_eus-gaap--WeightedAverageNumberO"/>
            <w:bookmarkStart w:id="151" w:name="xdx_90F_eus-gaap--WeightedAverageNumberO"/>
            <w:bookmarkEnd w:id="150"/>
            <w:bookmarkEnd w:id="151"/>
            <w:r>
              <w:rPr/>
              <w:t>12,386,349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52" w:name="xdx_906_eus-gaap--WeightedAverageNumberO"/>
            <w:bookmarkStart w:id="153" w:name="xdx_904_eus-gaap--WeightedAverageNumberO"/>
            <w:bookmarkEnd w:id="152"/>
            <w:bookmarkEnd w:id="153"/>
            <w:r>
              <w:rPr/>
              <w:t>975,931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bookmarkStart w:id="154" w:name="sh_003"/>
      <w:bookmarkEnd w:id="154"/>
      <w:r>
        <w:rPr>
          <w:rFonts w:ascii="Times New Roman;Times;Serif" w:hAnsi="Times New Roman;Times;Serif"/>
          <w:b/>
          <w:i w:val="false"/>
          <w:caps/>
          <w:sz w:val="20"/>
        </w:rPr>
        <w:t>Unaudited Condensed Consolidated Statements of Shareholders’ Equity (Deficit)</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 the Three and Six Months Ended June 30, 2026 and 2025</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data)</w:t>
      </w:r>
    </w:p>
    <w:p>
      <w:pPr>
        <w:pStyle w:val="TextBody"/>
        <w:bidi w:val="0"/>
        <w:spacing w:before="0" w:after="0"/>
        <w:ind w:left="0" w:right="0" w:hanging="0"/>
        <w:jc w:val="center"/>
        <w:rPr>
          <w:caps/>
        </w:rPr>
      </w:pPr>
      <w:r>
        <w:rPr>
          <w:caps/>
        </w:rPr>
        <w:t> </w:t>
      </w:r>
    </w:p>
    <w:p>
      <w:pPr>
        <w:pStyle w:val="Normal"/>
        <w:bidi w:val="0"/>
        <w:spacing w:before="0" w:after="0"/>
        <w:jc w:val="left"/>
        <w:rPr>
          <w:sz w:val="4"/>
          <w:szCs w:val="4"/>
        </w:rPr>
      </w:pPr>
      <w:r>
        <w:rPr>
          <w:sz w:val="4"/>
          <w:szCs w:val="4"/>
        </w:rPr>
      </w:r>
      <w:bookmarkStart w:id="155" w:name="xdx_304_114_pn3n3_zLuIqckEfWM2"/>
      <w:bookmarkStart w:id="156" w:name="xdx_304_114_pn3n3_zLuIqckEfWM2"/>
      <w:bookmarkEnd w:id="156"/>
    </w:p>
    <w:tbl>
      <w:tblPr>
        <w:tblW w:w="10205" w:type="dxa"/>
        <w:jc w:val="left"/>
        <w:tblInd w:w="0" w:type="dxa"/>
        <w:tblLayout w:type="fixed"/>
        <w:tblCellMar>
          <w:top w:w="0" w:type="dxa"/>
          <w:left w:w="0" w:type="dxa"/>
          <w:bottom w:w="0" w:type="dxa"/>
          <w:right w:w="0" w:type="dxa"/>
        </w:tblCellMar>
      </w:tblPr>
      <w:tblGrid>
        <w:gridCol w:w="2201"/>
        <w:gridCol w:w="60"/>
        <w:gridCol w:w="85"/>
        <w:gridCol w:w="652"/>
        <w:gridCol w:w="107"/>
        <w:gridCol w:w="68"/>
        <w:gridCol w:w="78"/>
        <w:gridCol w:w="830"/>
        <w:gridCol w:w="95"/>
        <w:gridCol w:w="60"/>
        <w:gridCol w:w="60"/>
        <w:gridCol w:w="1100"/>
        <w:gridCol w:w="60"/>
        <w:gridCol w:w="60"/>
        <w:gridCol w:w="400"/>
        <w:gridCol w:w="400"/>
        <w:gridCol w:w="60"/>
        <w:gridCol w:w="60"/>
        <w:gridCol w:w="173"/>
        <w:gridCol w:w="997"/>
        <w:gridCol w:w="95"/>
        <w:gridCol w:w="60"/>
        <w:gridCol w:w="176"/>
        <w:gridCol w:w="1104"/>
        <w:gridCol w:w="95"/>
        <w:gridCol w:w="60"/>
        <w:gridCol w:w="140"/>
        <w:gridCol w:w="755"/>
        <w:gridCol w:w="114"/>
      </w:tblGrid>
      <w:tr>
        <w:trPr/>
        <w:tc>
          <w:tcPr>
            <w:tcW w:w="22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7"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bookmarkStart w:id="157" w:name="xdx_4BA_us-gaap--StatementEquityComponen"/>
            <w:bookmarkEnd w:id="157"/>
          </w:p>
        </w:tc>
        <w:tc>
          <w:tcPr>
            <w:tcW w:w="908"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8" w:name="xdx_4B7_us-gaap--StatementEquityComponen"/>
            <w:bookmarkEnd w:id="158"/>
          </w:p>
        </w:tc>
        <w:tc>
          <w:tcPr>
            <w:tcW w:w="80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9" w:name="xdx_4BF_us-gaap--StatementEquityComponen"/>
            <w:bookmarkEnd w:id="159"/>
          </w:p>
        </w:tc>
        <w:tc>
          <w:tcPr>
            <w:tcW w:w="1170" w:type="dxa"/>
            <w:gridSpan w:val="2"/>
            <w:tcBorders>
              <w:bottom w:val="single" w:sz="8"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0" w:name="xdx_4BE_us-gaap--StatementEquityComponen"/>
            <w:bookmarkEnd w:id="160"/>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1" w:name="xdx_4B4_zNqGkb5iNje8"/>
            <w:bookmarkEnd w:id="161"/>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114" w:type="dxa"/>
            <w:tcBorders/>
            <w:vAlign w:val="center"/>
          </w:tcPr>
          <w:p>
            <w:pPr>
              <w:pStyle w:val="TableContents"/>
              <w:bidi w:val="0"/>
              <w:spacing w:before="0" w:after="283"/>
              <w:jc w:val="left"/>
              <w:rPr/>
            </w:pPr>
            <w:r>
              <w:rPr/>
              <w:t> </w:t>
            </w:r>
          </w:p>
        </w:tc>
      </w:tr>
      <w:tr>
        <w:trPr/>
        <w:tc>
          <w:tcPr>
            <w:tcW w:w="22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6"/>
            <w:tcBorders>
              <w:bottom w:val="single" w:sz="8" w:space="0" w:color="000000"/>
            </w:tcBorders>
            <w:tcMar>
              <w:bottom w:w="28" w:type="dxa"/>
            </w:tcMar>
            <w:vAlign w:val="center"/>
          </w:tcPr>
          <w:p>
            <w:pPr>
              <w:pStyle w:val="TableContents"/>
              <w:bidi w:val="0"/>
              <w:spacing w:before="0" w:after="283"/>
              <w:jc w:val="center"/>
              <w:rPr/>
            </w:pPr>
            <w:r>
              <w:rPr/>
              <w:t xml:space="preserve">Series A </w:t>
              <w:br/>
              <w:t>Redeemable Preferred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0" w:type="dxa"/>
            <w:gridSpan w:val="2"/>
            <w:tcBorders/>
            <w:vAlign w:val="center"/>
          </w:tcPr>
          <w:p>
            <w:pPr>
              <w:pStyle w:val="TableContents"/>
              <w:bidi w:val="0"/>
              <w:spacing w:before="0" w:after="283"/>
              <w:jc w:val="center"/>
              <w:rPr/>
            </w:pPr>
            <w:r>
              <w:rPr/>
              <w:t>Additional 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r>
      <w:tr>
        <w:trPr/>
        <w:tc>
          <w:tcPr>
            <w:tcW w:w="22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7"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114" w:type="dxa"/>
            <w:tcBorders/>
            <w:vAlign w:val="center"/>
          </w:tcPr>
          <w:p>
            <w:pPr>
              <w:pStyle w:val="TableContents"/>
              <w:bidi w:val="0"/>
              <w:spacing w:before="0" w:after="283"/>
              <w:jc w:val="left"/>
              <w:rPr/>
            </w:pPr>
            <w:r>
              <w:rPr/>
              <w:t> </w:t>
            </w:r>
          </w:p>
        </w:tc>
      </w:tr>
      <w:tr>
        <w:trPr/>
        <w:tc>
          <w:tcPr>
            <w:tcW w:w="22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7" w:type="dxa"/>
            <w:gridSpan w:val="2"/>
            <w:tcBorders/>
            <w:vAlign w:val="center"/>
          </w:tcPr>
          <w:p>
            <w:pPr>
              <w:pStyle w:val="TableContents"/>
              <w:bidi w:val="0"/>
              <w:spacing w:before="0" w:after="283"/>
              <w:jc w:val="center"/>
              <w:rPr/>
            </w:pPr>
            <w:r>
              <w:rPr/>
              <w:t> </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08"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bookmarkStart w:id="162" w:name="xdx_43C_c20260101__20260331_eus-gaap--St"/>
            <w:bookmarkEnd w:id="162"/>
          </w:p>
        </w:tc>
      </w:tr>
      <w:tr>
        <w:trPr/>
        <w:tc>
          <w:tcPr>
            <w:tcW w:w="2201" w:type="dxa"/>
            <w:tcBorders/>
            <w:shd w:fill="CCEEFF" w:val="clear"/>
            <w:vAlign w:val="center"/>
          </w:tcPr>
          <w:p>
            <w:pPr>
              <w:pStyle w:val="TableContents"/>
              <w:bidi w:val="0"/>
              <w:spacing w:before="0" w:after="283"/>
              <w:jc w:val="left"/>
              <w:rPr>
                <w:b/>
              </w:rPr>
            </w:pPr>
            <w:r>
              <w:rPr>
                <w:b/>
              </w:rPr>
              <w:t>Balance - January 1, 2026</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bookmarkStart w:id="163" w:name="xdx_980_eus-gaap--SharesOutstanding_iS_p"/>
            <w:bookmarkEnd w:id="163"/>
          </w:p>
        </w:tc>
        <w:tc>
          <w:tcPr>
            <w:tcW w:w="652"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4" w:name="xdx_98E_eus-gaap--SharesOutstanding_iS_p"/>
            <w:bookmarkEnd w:id="164"/>
          </w:p>
        </w:tc>
        <w:tc>
          <w:tcPr>
            <w:tcW w:w="1100" w:type="dxa"/>
            <w:tcBorders/>
            <w:shd w:fill="CCEEFF" w:val="clear"/>
            <w:vAlign w:val="center"/>
          </w:tcPr>
          <w:p>
            <w:pPr>
              <w:pStyle w:val="TableContents"/>
              <w:bidi w:val="0"/>
              <w:spacing w:before="0" w:after="283"/>
              <w:jc w:val="right"/>
              <w:rPr/>
            </w:pPr>
            <w:r>
              <w:rPr/>
              <w:t>12,078,713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w:t>
            </w:r>
          </w:p>
        </w:tc>
        <w:tc>
          <w:tcPr>
            <w:tcW w:w="40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997" w:type="dxa"/>
            <w:tcBorders/>
            <w:shd w:fill="CCEEFF" w:val="clear"/>
            <w:vAlign w:val="center"/>
          </w:tcPr>
          <w:p>
            <w:pPr>
              <w:pStyle w:val="TableContents"/>
              <w:bidi w:val="0"/>
              <w:spacing w:before="0" w:after="283"/>
              <w:jc w:val="right"/>
              <w:rPr/>
            </w:pPr>
            <w:r>
              <w:rPr/>
              <w:t>163,622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(152,093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11,530</w:t>
            </w:r>
          </w:p>
        </w:tc>
        <w:tc>
          <w:tcPr>
            <w:tcW w:w="114" w:type="dxa"/>
            <w:tcBorders/>
            <w:shd w:fill="CCEEFF" w:val="clear"/>
            <w:vAlign w:val="center"/>
          </w:tcPr>
          <w:p>
            <w:pPr>
              <w:pStyle w:val="TableContents"/>
              <w:bidi w:val="0"/>
              <w:spacing w:before="0" w:after="283"/>
              <w:jc w:val="left"/>
              <w:rPr/>
            </w:pPr>
            <w:r>
              <w:rPr/>
              <w:t> </w:t>
            </w:r>
          </w:p>
        </w:tc>
      </w:tr>
      <w:tr>
        <w:trPr/>
        <w:tc>
          <w:tcPr>
            <w:tcW w:w="2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65" w:name="xdx_400_eus-gaap--NetIncomeLoss_pn3n3_zg"/>
            <w:bookmarkEnd w:id="165"/>
          </w:p>
        </w:tc>
      </w:tr>
      <w:tr>
        <w:trPr/>
        <w:tc>
          <w:tcPr>
            <w:tcW w:w="220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(6,625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(6,625</w:t>
            </w:r>
          </w:p>
        </w:tc>
        <w:tc>
          <w:tcPr>
            <w:tcW w:w="114" w:type="dxa"/>
            <w:tcBorders/>
            <w:shd w:fill="CCEEFF" w:val="clear"/>
            <w:vAlign w:val="center"/>
          </w:tcPr>
          <w:p>
            <w:pPr>
              <w:pStyle w:val="TableContents"/>
              <w:bidi w:val="0"/>
              <w:spacing w:before="0" w:after="283"/>
              <w:jc w:val="left"/>
              <w:rPr/>
            </w:pPr>
            <w:r>
              <w:rPr/>
              <w:t>)</w:t>
            </w:r>
            <w:bookmarkStart w:id="166" w:name="xdx_407_ecustom--StockIssuedDuringPeriod"/>
            <w:bookmarkEnd w:id="166"/>
          </w:p>
        </w:tc>
      </w:tr>
      <w:tr>
        <w:trPr/>
        <w:tc>
          <w:tcPr>
            <w:tcW w:w="2201" w:type="dxa"/>
            <w:tcBorders/>
            <w:shd w:fill="FFFFFF" w:val="clear"/>
            <w:vAlign w:val="center"/>
          </w:tcPr>
          <w:p>
            <w:pPr>
              <w:pStyle w:val="TableContents"/>
              <w:bidi w:val="0"/>
              <w:spacing w:before="0" w:after="283"/>
              <w:jc w:val="left"/>
              <w:rPr/>
            </w:pPr>
            <w:r>
              <w:rPr/>
              <w:t>Cashless exercise of liability classified warrants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7" w:name="xdx_986_ecustom--StockIssuedDuringPeriod"/>
            <w:bookmarkEnd w:id="167"/>
          </w:p>
        </w:tc>
        <w:tc>
          <w:tcPr>
            <w:tcW w:w="1100" w:type="dxa"/>
            <w:tcBorders/>
            <w:shd w:fill="FFFFFF" w:val="clear"/>
            <w:vAlign w:val="center"/>
          </w:tcPr>
          <w:p>
            <w:pPr>
              <w:pStyle w:val="TableContents"/>
              <w:bidi w:val="0"/>
              <w:spacing w:before="0" w:after="283"/>
              <w:jc w:val="right"/>
              <w:rPr/>
            </w:pPr>
            <w:r>
              <w:rPr/>
              <w:t>69,985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68" w:name="xdx_402_ecustom--StockIssuedDuringPeriod"/>
            <w:bookmarkEnd w:id="168"/>
          </w:p>
        </w:tc>
      </w:tr>
      <w:tr>
        <w:trPr/>
        <w:tc>
          <w:tcPr>
            <w:tcW w:w="2201" w:type="dxa"/>
            <w:tcBorders/>
            <w:shd w:fill="CCEEFF" w:val="clear"/>
            <w:vAlign w:val="center"/>
          </w:tcPr>
          <w:p>
            <w:pPr>
              <w:pStyle w:val="TableContents"/>
              <w:bidi w:val="0"/>
              <w:spacing w:before="0" w:after="283"/>
              <w:jc w:val="left"/>
              <w:rPr/>
            </w:pPr>
            <w:r>
              <w:rPr/>
              <w:t>Shares issued for vested restricted stock units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9" w:name="xdx_982_ecustom--StockIssuedDuringPeriod"/>
            <w:bookmarkEnd w:id="169"/>
          </w:p>
        </w:tc>
        <w:tc>
          <w:tcPr>
            <w:tcW w:w="1100" w:type="dxa"/>
            <w:tcBorders/>
            <w:shd w:fill="CCEEFF" w:val="clear"/>
            <w:vAlign w:val="center"/>
          </w:tcPr>
          <w:p>
            <w:pPr>
              <w:pStyle w:val="TableContents"/>
              <w:bidi w:val="0"/>
              <w:spacing w:before="0" w:after="283"/>
              <w:jc w:val="right"/>
              <w:rPr/>
            </w:pPr>
            <w:r>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70" w:name="xdx_407_ecustom--AdjustmentsToAdditional"/>
            <w:bookmarkEnd w:id="170"/>
          </w:p>
        </w:tc>
      </w:tr>
      <w:tr>
        <w:trPr/>
        <w:tc>
          <w:tcPr>
            <w:tcW w:w="2201" w:type="dxa"/>
            <w:tcBorders/>
            <w:shd w:fill="FFFFFF" w:val="clear"/>
            <w:vAlign w:val="center"/>
          </w:tcPr>
          <w:p>
            <w:pPr>
              <w:pStyle w:val="TableContents"/>
              <w:bidi w:val="0"/>
              <w:spacing w:before="0" w:after="283"/>
              <w:jc w:val="left"/>
              <w:rPr/>
            </w:pPr>
            <w:r>
              <w:rPr/>
              <w:t>Dividends Preferred Series B - Paid-in-kind</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(125</w:t>
            </w:r>
          </w:p>
        </w:tc>
        <w:tc>
          <w:tcPr>
            <w:tcW w:w="114" w:type="dxa"/>
            <w:tcBorders/>
            <w:shd w:fill="FFFFFF" w:val="clear"/>
            <w:vAlign w:val="center"/>
          </w:tcPr>
          <w:p>
            <w:pPr>
              <w:pStyle w:val="TableContents"/>
              <w:bidi w:val="0"/>
              <w:spacing w:before="0" w:after="283"/>
              <w:jc w:val="left"/>
              <w:rPr/>
            </w:pPr>
            <w:r>
              <w:rPr/>
              <w:t>)</w:t>
            </w:r>
            <w:bookmarkStart w:id="171" w:name="xdx_406_eus-gaap--AdjustmentsToAdditiona"/>
            <w:bookmarkEnd w:id="171"/>
          </w:p>
        </w:tc>
      </w:tr>
      <w:tr>
        <w:trPr/>
        <w:tc>
          <w:tcPr>
            <w:tcW w:w="2201" w:type="dxa"/>
            <w:tcBorders/>
            <w:shd w:fill="CCEEFF" w:val="clear"/>
            <w:vAlign w:val="center"/>
          </w:tcPr>
          <w:p>
            <w:pPr>
              <w:pStyle w:val="TableContents"/>
              <w:bidi w:val="0"/>
              <w:spacing w:before="0" w:after="283"/>
              <w:jc w:val="left"/>
              <w:rPr/>
            </w:pPr>
            <w:r>
              <w:rPr/>
              <w:t>Dividends Preferred Series B</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(502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(502</w:t>
            </w:r>
          </w:p>
        </w:tc>
        <w:tc>
          <w:tcPr>
            <w:tcW w:w="114" w:type="dxa"/>
            <w:tcBorders/>
            <w:shd w:fill="CCEEFF" w:val="clear"/>
            <w:vAlign w:val="center"/>
          </w:tcPr>
          <w:p>
            <w:pPr>
              <w:pStyle w:val="TableContents"/>
              <w:bidi w:val="0"/>
              <w:spacing w:before="0" w:after="283"/>
              <w:jc w:val="left"/>
              <w:rPr/>
            </w:pPr>
            <w:r>
              <w:rPr/>
              <w:t>)</w:t>
            </w:r>
            <w:bookmarkStart w:id="172" w:name="xdx_409_ecustom--AdjustmentsToAdditional"/>
            <w:bookmarkEnd w:id="172"/>
          </w:p>
        </w:tc>
      </w:tr>
      <w:tr>
        <w:trPr/>
        <w:tc>
          <w:tcPr>
            <w:tcW w:w="2201" w:type="dxa"/>
            <w:tcBorders/>
            <w:shd w:fill="FFFFFF" w:val="clear"/>
            <w:vAlign w:val="center"/>
          </w:tcPr>
          <w:p>
            <w:pPr>
              <w:pStyle w:val="TableContents"/>
              <w:bidi w:val="0"/>
              <w:spacing w:before="0" w:after="283"/>
              <w:jc w:val="left"/>
              <w:rPr/>
            </w:pPr>
            <w:r>
              <w:rPr/>
              <w:t>Accretion of discount on Series B Preferred</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(468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(468</w:t>
            </w:r>
          </w:p>
        </w:tc>
        <w:tc>
          <w:tcPr>
            <w:tcW w:w="114" w:type="dxa"/>
            <w:tcBorders/>
            <w:shd w:fill="FFFFFF" w:val="clear"/>
            <w:vAlign w:val="center"/>
          </w:tcPr>
          <w:p>
            <w:pPr>
              <w:pStyle w:val="TableContents"/>
              <w:bidi w:val="0"/>
              <w:spacing w:before="0" w:after="283"/>
              <w:jc w:val="left"/>
              <w:rPr/>
            </w:pPr>
            <w:r>
              <w:rPr/>
              <w:t>)</w:t>
            </w:r>
            <w:bookmarkStart w:id="173" w:name="xdx_40C_eus-gaap--AdjustmentsToAdditiona"/>
            <w:bookmarkEnd w:id="173"/>
          </w:p>
        </w:tc>
      </w:tr>
      <w:tr>
        <w:trPr/>
        <w:tc>
          <w:tcPr>
            <w:tcW w:w="2201" w:type="dxa"/>
            <w:tcBorders/>
            <w:shd w:fill="CCEEFF" w:val="clear"/>
            <w:vAlign w:val="center"/>
          </w:tcPr>
          <w:p>
            <w:pPr>
              <w:pStyle w:val="TableContents"/>
              <w:bidi w:val="0"/>
              <w:spacing w:before="0" w:after="283"/>
              <w:jc w:val="left"/>
              <w:rPr/>
            </w:pPr>
            <w:r>
              <w:rPr/>
              <w:t>Stock compensation expense</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14" w:type="dxa"/>
            <w:tcBorders/>
            <w:shd w:fill="CCEEFF" w:val="clear"/>
            <w:vAlign w:val="center"/>
          </w:tcPr>
          <w:p>
            <w:pPr>
              <w:pStyle w:val="TableContents"/>
              <w:bidi w:val="0"/>
              <w:spacing w:before="0" w:after="283"/>
              <w:jc w:val="left"/>
              <w:rPr/>
            </w:pPr>
            <w:r>
              <w:rPr/>
              <w:t> </w:t>
            </w:r>
          </w:p>
        </w:tc>
      </w:tr>
      <w:tr>
        <w:trPr/>
        <w:tc>
          <w:tcPr>
            <w:tcW w:w="2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74" w:name="xdx_433_c20260401__20260630_eus-gaap--St"/>
            <w:bookmarkEnd w:id="174"/>
          </w:p>
        </w:tc>
      </w:tr>
      <w:tr>
        <w:trPr/>
        <w:tc>
          <w:tcPr>
            <w:tcW w:w="2201" w:type="dxa"/>
            <w:tcBorders/>
            <w:shd w:fill="CCEEFF" w:val="clear"/>
            <w:vAlign w:val="center"/>
          </w:tcPr>
          <w:p>
            <w:pPr>
              <w:pStyle w:val="TableContents"/>
              <w:bidi w:val="0"/>
              <w:spacing w:before="0" w:after="283"/>
              <w:jc w:val="left"/>
              <w:rPr>
                <w:b/>
              </w:rPr>
            </w:pPr>
            <w:r>
              <w:rPr>
                <w:b/>
              </w:rPr>
              <w:t>Balance - March 31, 2026</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5" w:name="xdx_98D_eus-gaap--SharesOutstanding_iS_p"/>
            <w:bookmarkEnd w:id="175"/>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6" w:name="xdx_98E_eus-gaap--SharesOutstanding_iS_p"/>
            <w:bookmarkEnd w:id="176"/>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12,148,783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pPr>
            <w:r>
              <w:rPr/>
              <w:t>162,627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4" w:type="dxa"/>
            <w:tcBorders>
              <w:bottom w:val="single" w:sz="8" w:space="0" w:color="000000"/>
            </w:tcBorders>
            <w:shd w:fill="CCEEFF" w:val="clear"/>
            <w:tcMar>
              <w:bottom w:w="28" w:type="dxa"/>
            </w:tcMar>
            <w:vAlign w:val="center"/>
          </w:tcPr>
          <w:p>
            <w:pPr>
              <w:pStyle w:val="TableContents"/>
              <w:bidi w:val="0"/>
              <w:spacing w:before="0" w:after="283"/>
              <w:jc w:val="right"/>
              <w:rPr/>
            </w:pPr>
            <w:r>
              <w:rPr/>
              <w:t>(158,718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3,910</w:t>
            </w:r>
          </w:p>
        </w:tc>
        <w:tc>
          <w:tcPr>
            <w:tcW w:w="114" w:type="dxa"/>
            <w:tcBorders/>
            <w:shd w:fill="CCEEFF" w:val="clear"/>
            <w:vAlign w:val="center"/>
          </w:tcPr>
          <w:p>
            <w:pPr>
              <w:pStyle w:val="TableContents"/>
              <w:bidi w:val="0"/>
              <w:spacing w:before="0" w:after="283"/>
              <w:jc w:val="left"/>
              <w:rPr/>
            </w:pPr>
            <w:r>
              <w:rPr/>
              <w:t> </w:t>
            </w:r>
            <w:bookmarkStart w:id="177" w:name="xdx_434_c20260401__20260630_eus-gaap--St"/>
            <w:bookmarkEnd w:id="177"/>
          </w:p>
        </w:tc>
      </w:tr>
      <w:tr>
        <w:trPr/>
        <w:tc>
          <w:tcPr>
            <w:tcW w:w="2201"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8" w:name="xdx_98D_eus-gaap--SharesOutstanding_iS_p"/>
            <w:bookmarkEnd w:id="178"/>
          </w:p>
        </w:tc>
        <w:tc>
          <w:tcPr>
            <w:tcW w:w="6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9" w:name="xdx_985_eus-gaap--SharesOutstanding_iS_p"/>
            <w:bookmarkEnd w:id="179"/>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12,148,783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pPr>
            <w:r>
              <w:rPr/>
              <w:t>162,627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(158,718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3,910</w:t>
            </w:r>
          </w:p>
        </w:tc>
        <w:tc>
          <w:tcPr>
            <w:tcW w:w="114" w:type="dxa"/>
            <w:tcBorders/>
            <w:shd w:fill="FFFFFF" w:val="clear"/>
            <w:vAlign w:val="center"/>
          </w:tcPr>
          <w:p>
            <w:pPr>
              <w:pStyle w:val="TableContents"/>
              <w:bidi w:val="0"/>
              <w:spacing w:before="0" w:after="283"/>
              <w:jc w:val="left"/>
              <w:rPr/>
            </w:pPr>
            <w:r>
              <w:rPr/>
              <w:t> </w:t>
            </w:r>
            <w:bookmarkStart w:id="180" w:name="xdx_400_eus-gaap--NetIncomeLoss_pn3n3_zG"/>
            <w:bookmarkEnd w:id="180"/>
          </w:p>
        </w:tc>
      </w:tr>
      <w:tr>
        <w:trPr/>
        <w:tc>
          <w:tcPr>
            <w:tcW w:w="2201"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(4,386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(4,386</w:t>
            </w:r>
          </w:p>
        </w:tc>
        <w:tc>
          <w:tcPr>
            <w:tcW w:w="114" w:type="dxa"/>
            <w:tcBorders/>
            <w:shd w:fill="FFFFFF" w:val="clear"/>
            <w:vAlign w:val="center"/>
          </w:tcPr>
          <w:p>
            <w:pPr>
              <w:pStyle w:val="TableContents"/>
              <w:bidi w:val="0"/>
              <w:spacing w:before="0" w:after="283"/>
              <w:jc w:val="left"/>
              <w:rPr/>
            </w:pPr>
            <w:r>
              <w:rPr/>
              <w:t>)</w:t>
            </w:r>
            <w:bookmarkStart w:id="181" w:name="xdx_409_eus-gaap--StockIssuedDuringPerio"/>
            <w:bookmarkEnd w:id="181"/>
          </w:p>
        </w:tc>
      </w:tr>
      <w:tr>
        <w:trPr/>
        <w:tc>
          <w:tcPr>
            <w:tcW w:w="2201" w:type="dxa"/>
            <w:tcBorders/>
            <w:shd w:fill="CCEEFF" w:val="clear"/>
            <w:vAlign w:val="center"/>
          </w:tcPr>
          <w:p>
            <w:pPr>
              <w:pStyle w:val="TableContents"/>
              <w:bidi w:val="0"/>
              <w:spacing w:before="0" w:after="283"/>
              <w:jc w:val="left"/>
              <w:rPr/>
            </w:pPr>
            <w:r>
              <w:rPr/>
              <w:t>Common stock issued in public offering (ATM), net of costs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2" w:name="xdx_98F_eus-gaap--StockIssuedDuringPerio"/>
            <w:bookmarkEnd w:id="182"/>
          </w:p>
        </w:tc>
        <w:tc>
          <w:tcPr>
            <w:tcW w:w="1100" w:type="dxa"/>
            <w:tcBorders/>
            <w:shd w:fill="CCEEFF" w:val="clear"/>
            <w:vAlign w:val="center"/>
          </w:tcPr>
          <w:p>
            <w:pPr>
              <w:pStyle w:val="TableContents"/>
              <w:bidi w:val="0"/>
              <w:spacing w:before="0" w:after="283"/>
              <w:jc w:val="right"/>
              <w:rPr/>
            </w:pPr>
            <w:r>
              <w:rPr/>
              <w:t>411,100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829</w:t>
            </w:r>
          </w:p>
        </w:tc>
        <w:tc>
          <w:tcPr>
            <w:tcW w:w="114" w:type="dxa"/>
            <w:tcBorders/>
            <w:shd w:fill="CCEEFF" w:val="clear"/>
            <w:vAlign w:val="center"/>
          </w:tcPr>
          <w:p>
            <w:pPr>
              <w:pStyle w:val="TableContents"/>
              <w:bidi w:val="0"/>
              <w:spacing w:before="0" w:after="283"/>
              <w:jc w:val="left"/>
              <w:rPr/>
            </w:pPr>
            <w:r>
              <w:rPr/>
              <w:t> </w:t>
            </w:r>
            <w:bookmarkStart w:id="183" w:name="xdx_406_eus-gaap--StockIssuedDuringPerio"/>
            <w:bookmarkEnd w:id="183"/>
          </w:p>
        </w:tc>
      </w:tr>
      <w:tr>
        <w:trPr/>
        <w:tc>
          <w:tcPr>
            <w:tcW w:w="2201" w:type="dxa"/>
            <w:tcBorders/>
            <w:shd w:fill="FFFFFF" w:val="clear"/>
            <w:vAlign w:val="center"/>
          </w:tcPr>
          <w:p>
            <w:pPr>
              <w:pStyle w:val="TableContents"/>
              <w:bidi w:val="0"/>
              <w:spacing w:before="0" w:after="283"/>
              <w:jc w:val="left"/>
              <w:rPr/>
            </w:pPr>
            <w:r>
              <w:rPr/>
              <w:t>Share issuance under ESPP</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4" w:name="xdx_988_eus-gaap--StockIssuedDuringPerio"/>
            <w:bookmarkEnd w:id="184"/>
          </w:p>
        </w:tc>
        <w:tc>
          <w:tcPr>
            <w:tcW w:w="1100" w:type="dxa"/>
            <w:tcBorders/>
            <w:shd w:fill="FFFFFF" w:val="clear"/>
            <w:vAlign w:val="center"/>
          </w:tcPr>
          <w:p>
            <w:pPr>
              <w:pStyle w:val="TableContents"/>
              <w:bidi w:val="0"/>
              <w:spacing w:before="0" w:after="283"/>
              <w:jc w:val="right"/>
              <w:rPr/>
            </w:pPr>
            <w:r>
              <w:rPr/>
              <w:t>17,469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w:t>
            </w:r>
          </w:p>
        </w:tc>
        <w:tc>
          <w:tcPr>
            <w:tcW w:w="114" w:type="dxa"/>
            <w:tcBorders/>
            <w:shd w:fill="FFFFFF" w:val="clear"/>
            <w:vAlign w:val="center"/>
          </w:tcPr>
          <w:p>
            <w:pPr>
              <w:pStyle w:val="TableContents"/>
              <w:bidi w:val="0"/>
              <w:spacing w:before="0" w:after="283"/>
              <w:jc w:val="left"/>
              <w:rPr/>
            </w:pPr>
            <w:r>
              <w:rPr/>
              <w:t> </w:t>
            </w:r>
            <w:bookmarkStart w:id="185" w:name="xdx_403_ecustom--StockIssuedDuringPeriod"/>
            <w:bookmarkEnd w:id="185"/>
          </w:p>
        </w:tc>
      </w:tr>
      <w:tr>
        <w:trPr/>
        <w:tc>
          <w:tcPr>
            <w:tcW w:w="2201" w:type="dxa"/>
            <w:tcBorders/>
            <w:shd w:fill="CCEEFF" w:val="clear"/>
            <w:vAlign w:val="center"/>
          </w:tcPr>
          <w:p>
            <w:pPr>
              <w:pStyle w:val="TableContents"/>
              <w:bidi w:val="0"/>
              <w:spacing w:before="0" w:after="283"/>
              <w:jc w:val="left"/>
              <w:rPr/>
            </w:pPr>
            <w:r>
              <w:rPr/>
              <w:t>Exercise of investor warrants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6" w:name="xdx_989_ecustom--StockIssuedDuringPeriod"/>
            <w:bookmarkEnd w:id="186"/>
          </w:p>
        </w:tc>
        <w:tc>
          <w:tcPr>
            <w:tcW w:w="1100" w:type="dxa"/>
            <w:tcBorders/>
            <w:shd w:fill="CCEEFF" w:val="clear"/>
            <w:vAlign w:val="center"/>
          </w:tcPr>
          <w:p>
            <w:pPr>
              <w:pStyle w:val="TableContents"/>
              <w:bidi w:val="0"/>
              <w:spacing w:before="0" w:after="283"/>
              <w:jc w:val="right"/>
              <w:rPr/>
            </w:pPr>
            <w:r>
              <w:rPr/>
              <w:t>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w:t>
            </w:r>
          </w:p>
        </w:tc>
        <w:tc>
          <w:tcPr>
            <w:tcW w:w="114" w:type="dxa"/>
            <w:tcBorders/>
            <w:shd w:fill="CCEEFF" w:val="clear"/>
            <w:vAlign w:val="center"/>
          </w:tcPr>
          <w:p>
            <w:pPr>
              <w:pStyle w:val="TableContents"/>
              <w:bidi w:val="0"/>
              <w:spacing w:before="0" w:after="283"/>
              <w:jc w:val="left"/>
              <w:rPr/>
            </w:pPr>
            <w:r>
              <w:rPr/>
              <w:t> </w:t>
            </w:r>
            <w:bookmarkStart w:id="187" w:name="xdx_407_ecustom--StockIssuedDuringPeriod"/>
            <w:bookmarkEnd w:id="187"/>
          </w:p>
        </w:tc>
      </w:tr>
      <w:tr>
        <w:trPr/>
        <w:tc>
          <w:tcPr>
            <w:tcW w:w="2201" w:type="dxa"/>
            <w:tcBorders/>
            <w:shd w:fill="FFFFFF" w:val="clear"/>
            <w:vAlign w:val="center"/>
          </w:tcPr>
          <w:p>
            <w:pPr>
              <w:pStyle w:val="TableContents"/>
              <w:bidi w:val="0"/>
              <w:spacing w:before="0" w:after="283"/>
              <w:jc w:val="left"/>
              <w:rPr/>
            </w:pPr>
            <w:r>
              <w:rPr/>
              <w:t>Cashless exercise of liability classified as warrants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8" w:name="xdx_983_ecustom--StockIssuedDuringPeriod"/>
            <w:bookmarkEnd w:id="188"/>
          </w:p>
        </w:tc>
        <w:tc>
          <w:tcPr>
            <w:tcW w:w="1100" w:type="dxa"/>
            <w:tcBorders/>
            <w:shd w:fill="FFFFFF" w:val="clear"/>
            <w:vAlign w:val="center"/>
          </w:tcPr>
          <w:p>
            <w:pPr>
              <w:pStyle w:val="TableContents"/>
              <w:bidi w:val="0"/>
              <w:spacing w:before="0" w:after="283"/>
              <w:jc w:val="right"/>
              <w:rPr/>
            </w:pPr>
            <w:r>
              <w:rPr/>
              <w:t>103,390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193</w:t>
            </w:r>
          </w:p>
        </w:tc>
        <w:tc>
          <w:tcPr>
            <w:tcW w:w="114" w:type="dxa"/>
            <w:tcBorders/>
            <w:shd w:fill="FFFFFF" w:val="clear"/>
            <w:vAlign w:val="center"/>
          </w:tcPr>
          <w:p>
            <w:pPr>
              <w:pStyle w:val="TableContents"/>
              <w:bidi w:val="0"/>
              <w:spacing w:before="0" w:after="283"/>
              <w:jc w:val="left"/>
              <w:rPr/>
            </w:pPr>
            <w:r>
              <w:rPr/>
              <w:t> </w:t>
            </w:r>
            <w:bookmarkStart w:id="189" w:name="xdx_402_ecustom--StockIssuedDuringPeriod"/>
            <w:bookmarkEnd w:id="189"/>
          </w:p>
        </w:tc>
      </w:tr>
      <w:tr>
        <w:trPr/>
        <w:tc>
          <w:tcPr>
            <w:tcW w:w="2201" w:type="dxa"/>
            <w:tcBorders/>
            <w:shd w:fill="CCEEFF" w:val="clear"/>
            <w:vAlign w:val="center"/>
          </w:tcPr>
          <w:p>
            <w:pPr>
              <w:pStyle w:val="TableContents"/>
              <w:bidi w:val="0"/>
              <w:spacing w:before="0" w:after="283"/>
              <w:jc w:val="left"/>
              <w:rPr/>
            </w:pPr>
            <w:r>
              <w:rPr/>
              <w:t>Shares issued for vested restricted stock units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0" w:name="xdx_98D_ecustom--StockIssuedDuringPeriod"/>
            <w:bookmarkEnd w:id="190"/>
          </w:p>
        </w:tc>
        <w:tc>
          <w:tcPr>
            <w:tcW w:w="1100" w:type="dxa"/>
            <w:tcBorders/>
            <w:shd w:fill="CCEEFF" w:val="clear"/>
            <w:vAlign w:val="center"/>
          </w:tcPr>
          <w:p>
            <w:pPr>
              <w:pStyle w:val="TableContents"/>
              <w:bidi w:val="0"/>
              <w:spacing w:before="0" w:after="283"/>
              <w:jc w:val="right"/>
              <w:rPr/>
            </w:pPr>
            <w:r>
              <w:rPr/>
              <w:t>173,070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91" w:name="xdx_407_ecustom--AdjustmentsToAdditional"/>
            <w:bookmarkEnd w:id="191"/>
          </w:p>
        </w:tc>
      </w:tr>
      <w:tr>
        <w:trPr/>
        <w:tc>
          <w:tcPr>
            <w:tcW w:w="2201" w:type="dxa"/>
            <w:tcBorders/>
            <w:shd w:fill="FFFFFF" w:val="clear"/>
            <w:vAlign w:val="center"/>
          </w:tcPr>
          <w:p>
            <w:pPr>
              <w:pStyle w:val="TableContents"/>
              <w:bidi w:val="0"/>
              <w:spacing w:before="0" w:after="283"/>
              <w:jc w:val="left"/>
              <w:rPr/>
            </w:pPr>
            <w:r>
              <w:rPr/>
              <w:t>Dividends Preferred Series B - Paid-in-kind</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(127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(127</w:t>
            </w:r>
          </w:p>
        </w:tc>
        <w:tc>
          <w:tcPr>
            <w:tcW w:w="114" w:type="dxa"/>
            <w:tcBorders/>
            <w:shd w:fill="FFFFFF" w:val="clear"/>
            <w:vAlign w:val="center"/>
          </w:tcPr>
          <w:p>
            <w:pPr>
              <w:pStyle w:val="TableContents"/>
              <w:bidi w:val="0"/>
              <w:spacing w:before="0" w:after="283"/>
              <w:jc w:val="left"/>
              <w:rPr/>
            </w:pPr>
            <w:r>
              <w:rPr/>
              <w:t>)</w:t>
            </w:r>
            <w:bookmarkStart w:id="192" w:name="xdx_406_eus-gaap--AdjustmentsToAdditiona"/>
            <w:bookmarkEnd w:id="192"/>
          </w:p>
        </w:tc>
      </w:tr>
      <w:tr>
        <w:trPr/>
        <w:tc>
          <w:tcPr>
            <w:tcW w:w="2201" w:type="dxa"/>
            <w:tcBorders/>
            <w:shd w:fill="CCEEFF" w:val="clear"/>
            <w:vAlign w:val="center"/>
          </w:tcPr>
          <w:p>
            <w:pPr>
              <w:pStyle w:val="TableContents"/>
              <w:bidi w:val="0"/>
              <w:spacing w:before="0" w:after="283"/>
              <w:jc w:val="left"/>
              <w:rPr/>
            </w:pPr>
            <w:r>
              <w:rPr/>
              <w:t>Dividends Preferred Series B</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(510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(510</w:t>
            </w:r>
          </w:p>
        </w:tc>
        <w:tc>
          <w:tcPr>
            <w:tcW w:w="114" w:type="dxa"/>
            <w:tcBorders/>
            <w:shd w:fill="CCEEFF" w:val="clear"/>
            <w:vAlign w:val="center"/>
          </w:tcPr>
          <w:p>
            <w:pPr>
              <w:pStyle w:val="TableContents"/>
              <w:bidi w:val="0"/>
              <w:spacing w:before="0" w:after="283"/>
              <w:jc w:val="left"/>
              <w:rPr/>
            </w:pPr>
            <w:r>
              <w:rPr/>
              <w:t>)</w:t>
            </w:r>
            <w:bookmarkStart w:id="193" w:name="xdx_409_ecustom--AdjustmentsToAdditional"/>
            <w:bookmarkEnd w:id="193"/>
          </w:p>
        </w:tc>
      </w:tr>
      <w:tr>
        <w:trPr/>
        <w:tc>
          <w:tcPr>
            <w:tcW w:w="2201" w:type="dxa"/>
            <w:tcBorders/>
            <w:shd w:fill="FFFFFF" w:val="clear"/>
            <w:vAlign w:val="center"/>
          </w:tcPr>
          <w:p>
            <w:pPr>
              <w:pStyle w:val="TableContents"/>
              <w:bidi w:val="0"/>
              <w:spacing w:before="0" w:after="283"/>
              <w:jc w:val="left"/>
              <w:rPr/>
            </w:pPr>
            <w:r>
              <w:rPr/>
              <w:t>Accretion of discount on Series B Preferred</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(494</w:t>
            </w:r>
          </w:p>
        </w:tc>
        <w:tc>
          <w:tcPr>
            <w:tcW w:w="114" w:type="dxa"/>
            <w:tcBorders/>
            <w:shd w:fill="FFFFFF" w:val="clear"/>
            <w:vAlign w:val="center"/>
          </w:tcPr>
          <w:p>
            <w:pPr>
              <w:pStyle w:val="TableContents"/>
              <w:bidi w:val="0"/>
              <w:spacing w:before="0" w:after="283"/>
              <w:jc w:val="left"/>
              <w:rPr/>
            </w:pPr>
            <w:r>
              <w:rPr/>
              <w:t>)</w:t>
            </w:r>
            <w:bookmarkStart w:id="194" w:name="xdx_40C_eus-gaap--AdjustmentsToAdditiona"/>
            <w:bookmarkEnd w:id="194"/>
          </w:p>
        </w:tc>
      </w:tr>
      <w:tr>
        <w:trPr/>
        <w:tc>
          <w:tcPr>
            <w:tcW w:w="2201" w:type="dxa"/>
            <w:tcBorders/>
            <w:shd w:fill="CCEEFF" w:val="clear"/>
            <w:vAlign w:val="center"/>
          </w:tcPr>
          <w:p>
            <w:pPr>
              <w:pStyle w:val="TableContents"/>
              <w:bidi w:val="0"/>
              <w:spacing w:before="0" w:after="283"/>
              <w:jc w:val="left"/>
              <w:rPr/>
            </w:pPr>
            <w:r>
              <w:rPr/>
              <w:t>Stock compensation expense</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pPr>
            <w:r>
              <w:rPr/>
              <w:t>374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374</w:t>
            </w:r>
          </w:p>
        </w:tc>
        <w:tc>
          <w:tcPr>
            <w:tcW w:w="114" w:type="dxa"/>
            <w:tcBorders/>
            <w:shd w:fill="CCEEFF" w:val="clear"/>
            <w:vAlign w:val="center"/>
          </w:tcPr>
          <w:p>
            <w:pPr>
              <w:pStyle w:val="TableContents"/>
              <w:bidi w:val="0"/>
              <w:spacing w:before="0" w:after="283"/>
              <w:jc w:val="left"/>
              <w:rPr/>
            </w:pPr>
            <w:r>
              <w:rPr/>
              <w:t> </w:t>
            </w:r>
          </w:p>
        </w:tc>
      </w:tr>
      <w:tr>
        <w:trPr/>
        <w:tc>
          <w:tcPr>
            <w:tcW w:w="2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95" w:name="xdx_43B_c20260401__20260630_eus-gaap--St"/>
            <w:bookmarkEnd w:id="195"/>
          </w:p>
        </w:tc>
      </w:tr>
      <w:tr>
        <w:trPr/>
        <w:tc>
          <w:tcPr>
            <w:tcW w:w="2201" w:type="dxa"/>
            <w:tcBorders/>
            <w:shd w:fill="CCEEFF" w:val="clear"/>
            <w:vAlign w:val="center"/>
          </w:tcPr>
          <w:p>
            <w:pPr>
              <w:pStyle w:val="TableContents"/>
              <w:bidi w:val="0"/>
              <w:spacing w:before="0" w:after="283"/>
              <w:jc w:val="left"/>
              <w:rPr>
                <w:b/>
              </w:rPr>
            </w:pPr>
            <w:r>
              <w:rPr>
                <w:b/>
              </w:rPr>
              <w:t>Balance - June 30, 2026</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bookmarkStart w:id="196" w:name="xdx_98B_eus-gaap--SharesOutstanding_iE_p"/>
            <w:bookmarkEnd w:id="196"/>
          </w:p>
        </w:tc>
        <w:tc>
          <w:tcPr>
            <w:tcW w:w="652"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7" w:name="xdx_98A_eus-gaap--SharesOutstanding_iE_p"/>
            <w:bookmarkEnd w:id="197"/>
          </w:p>
        </w:tc>
        <w:tc>
          <w:tcPr>
            <w:tcW w:w="1100" w:type="dxa"/>
            <w:tcBorders/>
            <w:shd w:fill="CCEEFF" w:val="clear"/>
            <w:vAlign w:val="center"/>
          </w:tcPr>
          <w:p>
            <w:pPr>
              <w:pStyle w:val="TableContents"/>
              <w:bidi w:val="0"/>
              <w:spacing w:before="0" w:after="283"/>
              <w:jc w:val="right"/>
              <w:rPr/>
            </w:pPr>
            <w:r>
              <w:rPr/>
              <w:t>13,353,812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162,919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(163,104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(184</w:t>
            </w:r>
          </w:p>
        </w:tc>
        <w:tc>
          <w:tcPr>
            <w:tcW w:w="114" w:type="dxa"/>
            <w:tcBorders/>
            <w:shd w:fill="CCEEFF" w:val="clear"/>
            <w:vAlign w:val="center"/>
          </w:tcPr>
          <w:p>
            <w:pPr>
              <w:pStyle w:val="TableContents"/>
              <w:bidi w:val="0"/>
              <w:spacing w:before="0" w:after="283"/>
              <w:jc w:val="left"/>
              <w:rPr/>
            </w:pPr>
            <w:r>
              <w:rPr/>
              <w:t>)</w:t>
            </w:r>
            <w:bookmarkStart w:id="198" w:name="xdx_43A_c20260401__20260630_eus-gaap--St"/>
            <w:bookmarkEnd w:id="198"/>
          </w:p>
        </w:tc>
      </w:tr>
      <w:tr>
        <w:trPr/>
        <w:tc>
          <w:tcPr>
            <w:tcW w:w="2201"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bookmarkStart w:id="199" w:name="xdx_986_eus-gaap--SharesOutstanding_iE_p"/>
            <w:bookmarkEnd w:id="199"/>
          </w:p>
        </w:tc>
        <w:tc>
          <w:tcPr>
            <w:tcW w:w="652"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0" w:name="xdx_98D_eus-gaap--SharesOutstanding_iE_p"/>
            <w:bookmarkEnd w:id="200"/>
          </w:p>
        </w:tc>
        <w:tc>
          <w:tcPr>
            <w:tcW w:w="1100" w:type="dxa"/>
            <w:tcBorders/>
            <w:shd w:fill="FFFFFF" w:val="clear"/>
            <w:vAlign w:val="center"/>
          </w:tcPr>
          <w:p>
            <w:pPr>
              <w:pStyle w:val="TableContents"/>
              <w:bidi w:val="0"/>
              <w:spacing w:before="0" w:after="283"/>
              <w:jc w:val="right"/>
              <w:rPr/>
            </w:pPr>
            <w:r>
              <w:rPr/>
              <w:t>13,353,812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162,919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(163,104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(184</w:t>
            </w:r>
          </w:p>
        </w:tc>
        <w:tc>
          <w:tcPr>
            <w:tcW w:w="114" w:type="dxa"/>
            <w:tcBorders/>
            <w:shd w:fill="FFFFFF" w:val="clear"/>
            <w:vAlign w:val="center"/>
          </w:tcPr>
          <w:p>
            <w:pPr>
              <w:pStyle w:val="TableContents"/>
              <w:bidi w:val="0"/>
              <w:spacing w:before="0" w:after="283"/>
              <w:jc w:val="left"/>
              <w:rPr/>
            </w:pPr>
            <w:r>
              <w:rPr/>
              <w:t>)</w:t>
            </w:r>
          </w:p>
        </w:tc>
      </w:tr>
      <w:tr>
        <w:trPr/>
        <w:tc>
          <w:tcPr>
            <w:tcW w:w="2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01" w:name="xdx_438_c20250101__20250331_eus-gaap--St"/>
            <w:bookmarkEnd w:id="201"/>
          </w:p>
        </w:tc>
      </w:tr>
      <w:tr>
        <w:trPr/>
        <w:tc>
          <w:tcPr>
            <w:tcW w:w="2201" w:type="dxa"/>
            <w:tcBorders/>
            <w:shd w:fill="CCEEFF" w:val="clear"/>
            <w:vAlign w:val="center"/>
          </w:tcPr>
          <w:p>
            <w:pPr>
              <w:pStyle w:val="TableContents"/>
              <w:bidi w:val="0"/>
              <w:spacing w:before="0" w:after="283"/>
              <w:jc w:val="left"/>
              <w:rPr>
                <w:b/>
              </w:rPr>
            </w:pPr>
            <w:r>
              <w:rPr>
                <w:b/>
              </w:rPr>
              <w:t>Balance - January 1, 2025</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bookmarkStart w:id="202" w:name="xdx_986_eus-gaap--SharesOutstanding_iS_p"/>
            <w:bookmarkEnd w:id="202"/>
          </w:p>
        </w:tc>
        <w:tc>
          <w:tcPr>
            <w:tcW w:w="652"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3" w:name="xdx_981_eus-gaap--SharesOutstanding_iS_p"/>
            <w:bookmarkEnd w:id="203"/>
          </w:p>
        </w:tc>
        <w:tc>
          <w:tcPr>
            <w:tcW w:w="1100" w:type="dxa"/>
            <w:tcBorders/>
            <w:shd w:fill="CCEEFF" w:val="clear"/>
            <w:vAlign w:val="center"/>
          </w:tcPr>
          <w:p>
            <w:pPr>
              <w:pStyle w:val="TableContents"/>
              <w:bidi w:val="0"/>
              <w:spacing w:before="0" w:after="283"/>
              <w:jc w:val="right"/>
              <w:rPr/>
            </w:pPr>
            <w:r>
              <w:rPr/>
              <w:t>723,265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997" w:type="dxa"/>
            <w:tcBorders/>
            <w:shd w:fill="CCEEFF" w:val="clear"/>
            <w:vAlign w:val="center"/>
          </w:tcPr>
          <w:p>
            <w:pPr>
              <w:pStyle w:val="TableContents"/>
              <w:bidi w:val="0"/>
              <w:spacing w:before="0" w:after="283"/>
              <w:jc w:val="right"/>
              <w:rPr/>
            </w:pPr>
            <w:r>
              <w:rPr/>
              <w:t>72,750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(82,154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(9,404</w:t>
            </w:r>
          </w:p>
        </w:tc>
        <w:tc>
          <w:tcPr>
            <w:tcW w:w="114" w:type="dxa"/>
            <w:tcBorders/>
            <w:shd w:fill="CCEEFF" w:val="clear"/>
            <w:vAlign w:val="center"/>
          </w:tcPr>
          <w:p>
            <w:pPr>
              <w:pStyle w:val="TableContents"/>
              <w:bidi w:val="0"/>
              <w:spacing w:before="0" w:after="283"/>
              <w:jc w:val="left"/>
              <w:rPr/>
            </w:pPr>
            <w:r>
              <w:rPr/>
              <w:t>)</w:t>
            </w:r>
          </w:p>
        </w:tc>
      </w:tr>
      <w:tr>
        <w:trPr/>
        <w:tc>
          <w:tcPr>
            <w:tcW w:w="2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04" w:name="xdx_400_eus-gaap--NetIncomeLoss_pn3n3_zA"/>
            <w:bookmarkEnd w:id="204"/>
          </w:p>
        </w:tc>
      </w:tr>
      <w:tr>
        <w:trPr/>
        <w:tc>
          <w:tcPr>
            <w:tcW w:w="220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(6,797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(6,797</w:t>
            </w:r>
          </w:p>
        </w:tc>
        <w:tc>
          <w:tcPr>
            <w:tcW w:w="114" w:type="dxa"/>
            <w:tcBorders/>
            <w:shd w:fill="CCEEFF" w:val="clear"/>
            <w:vAlign w:val="center"/>
          </w:tcPr>
          <w:p>
            <w:pPr>
              <w:pStyle w:val="TableContents"/>
              <w:bidi w:val="0"/>
              <w:spacing w:before="0" w:after="283"/>
              <w:jc w:val="left"/>
              <w:rPr/>
            </w:pPr>
            <w:r>
              <w:rPr/>
              <w:t>)</w:t>
            </w:r>
            <w:bookmarkStart w:id="205" w:name="xdx_409_eus-gaap--StockIssuedDuringPerio"/>
            <w:bookmarkEnd w:id="205"/>
          </w:p>
        </w:tc>
      </w:tr>
      <w:tr>
        <w:trPr/>
        <w:tc>
          <w:tcPr>
            <w:tcW w:w="2201" w:type="dxa"/>
            <w:tcBorders/>
            <w:shd w:fill="FFFFFF" w:val="clear"/>
            <w:vAlign w:val="center"/>
          </w:tcPr>
          <w:p>
            <w:pPr>
              <w:pStyle w:val="TableContents"/>
              <w:bidi w:val="0"/>
              <w:spacing w:before="0" w:after="283"/>
              <w:jc w:val="left"/>
              <w:rPr/>
            </w:pPr>
            <w:r>
              <w:rPr/>
              <w:t>Common stock issued in public offering (ATM), net of costs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6" w:name="xdx_98C_eus-gaap--StockIssuedDuringPerio"/>
            <w:bookmarkEnd w:id="206"/>
          </w:p>
        </w:tc>
        <w:tc>
          <w:tcPr>
            <w:tcW w:w="1100" w:type="dxa"/>
            <w:tcBorders/>
            <w:shd w:fill="FFFFFF" w:val="clear"/>
            <w:vAlign w:val="center"/>
          </w:tcPr>
          <w:p>
            <w:pPr>
              <w:pStyle w:val="TableContents"/>
              <w:bidi w:val="0"/>
              <w:spacing w:before="0" w:after="283"/>
              <w:jc w:val="right"/>
              <w:rPr/>
            </w:pPr>
            <w:r>
              <w:rPr/>
              <w:t>2,316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63</w:t>
            </w:r>
          </w:p>
        </w:tc>
        <w:tc>
          <w:tcPr>
            <w:tcW w:w="114" w:type="dxa"/>
            <w:tcBorders/>
            <w:shd w:fill="FFFFFF" w:val="clear"/>
            <w:vAlign w:val="center"/>
          </w:tcPr>
          <w:p>
            <w:pPr>
              <w:pStyle w:val="TableContents"/>
              <w:bidi w:val="0"/>
              <w:spacing w:before="0" w:after="283"/>
              <w:jc w:val="left"/>
              <w:rPr/>
            </w:pPr>
            <w:r>
              <w:rPr/>
              <w:t> </w:t>
            </w:r>
            <w:bookmarkStart w:id="207" w:name="xdx_407_eus-gaap--StockIssuedDuringPerio"/>
            <w:bookmarkEnd w:id="207"/>
          </w:p>
        </w:tc>
      </w:tr>
      <w:tr>
        <w:trPr/>
        <w:tc>
          <w:tcPr>
            <w:tcW w:w="2201" w:type="dxa"/>
            <w:tcBorders/>
            <w:shd w:fill="CCEEFF" w:val="clear"/>
            <w:vAlign w:val="center"/>
          </w:tcPr>
          <w:p>
            <w:pPr>
              <w:pStyle w:val="TableContents"/>
              <w:bidi w:val="0"/>
              <w:spacing w:before="0" w:after="283"/>
              <w:jc w:val="left"/>
              <w:rPr/>
            </w:pPr>
            <w:r>
              <w:rPr/>
              <w:t>Redeemable preferred stock issued, net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bookmarkStart w:id="208" w:name="xdx_98B_eus-gaap--StockIssuedDuringPerio"/>
            <w:bookmarkEnd w:id="208"/>
          </w:p>
        </w:tc>
        <w:tc>
          <w:tcPr>
            <w:tcW w:w="652" w:type="dxa"/>
            <w:tcBorders/>
            <w:shd w:fill="CCEEFF" w:val="clear"/>
            <w:vAlign w:val="center"/>
          </w:tcPr>
          <w:p>
            <w:pPr>
              <w:pStyle w:val="TableContents"/>
              <w:bidi w:val="0"/>
              <w:spacing w:before="0" w:after="283"/>
              <w:jc w:val="right"/>
              <w:rPr/>
            </w:pPr>
            <w:r>
              <w:rPr/>
              <w:t>350</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209" w:name="xdx_402_ecustom--StockIssuedDuringPeriod"/>
            <w:bookmarkEnd w:id="209"/>
          </w:p>
        </w:tc>
      </w:tr>
      <w:tr>
        <w:trPr/>
        <w:tc>
          <w:tcPr>
            <w:tcW w:w="2201" w:type="dxa"/>
            <w:tcBorders/>
            <w:shd w:fill="FFFFFF" w:val="clear"/>
            <w:vAlign w:val="center"/>
          </w:tcPr>
          <w:p>
            <w:pPr>
              <w:pStyle w:val="TableContents"/>
              <w:bidi w:val="0"/>
              <w:spacing w:before="0" w:after="283"/>
              <w:jc w:val="left"/>
              <w:rPr/>
            </w:pPr>
            <w:r>
              <w:rPr/>
              <w:t>Shares issued for vested restricted stock units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0" w:name="xdx_98A_ecustom--StockIssuedDuringPeriod"/>
            <w:bookmarkEnd w:id="210"/>
          </w:p>
        </w:tc>
        <w:tc>
          <w:tcPr>
            <w:tcW w:w="1100" w:type="dxa"/>
            <w:tcBorders/>
            <w:shd w:fill="FFFFFF" w:val="clear"/>
            <w:vAlign w:val="center"/>
          </w:tcPr>
          <w:p>
            <w:pPr>
              <w:pStyle w:val="TableContents"/>
              <w:bidi w:val="0"/>
              <w:spacing w:before="0" w:after="283"/>
              <w:jc w:val="right"/>
              <w:rPr/>
            </w:pPr>
            <w:r>
              <w:rPr/>
              <w:t>2,195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11" w:name="xdx_408_eus-gaap--StockIssuedDuringPerio"/>
            <w:bookmarkEnd w:id="211"/>
          </w:p>
        </w:tc>
      </w:tr>
      <w:tr>
        <w:trPr/>
        <w:tc>
          <w:tcPr>
            <w:tcW w:w="2201" w:type="dxa"/>
            <w:tcBorders/>
            <w:shd w:fill="CCEEFF" w:val="clear"/>
            <w:vAlign w:val="center"/>
          </w:tcPr>
          <w:p>
            <w:pPr>
              <w:pStyle w:val="TableContents"/>
              <w:bidi w:val="0"/>
              <w:spacing w:before="0" w:after="283"/>
              <w:jc w:val="left"/>
              <w:rPr/>
            </w:pPr>
            <w:r>
              <w:rPr/>
              <w:t>Conversion of preferred stock to common stock</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bookmarkStart w:id="212" w:name="xdx_989_eus-gaap--StockIssuedDuringPerio"/>
            <w:bookmarkEnd w:id="212"/>
          </w:p>
        </w:tc>
        <w:tc>
          <w:tcPr>
            <w:tcW w:w="652" w:type="dxa"/>
            <w:tcBorders/>
            <w:shd w:fill="CCEEFF" w:val="clear"/>
            <w:vAlign w:val="center"/>
          </w:tcPr>
          <w:p>
            <w:pPr>
              <w:pStyle w:val="TableContents"/>
              <w:bidi w:val="0"/>
              <w:spacing w:before="0" w:after="283"/>
              <w:jc w:val="right"/>
              <w:rPr/>
            </w:pPr>
            <w:r>
              <w:rPr/>
              <w:t>(30</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3" w:name="xdx_980_eus-gaap--StockIssuedDuringPerio"/>
            <w:bookmarkEnd w:id="213"/>
          </w:p>
        </w:tc>
        <w:tc>
          <w:tcPr>
            <w:tcW w:w="1100" w:type="dxa"/>
            <w:tcBorders/>
            <w:shd w:fill="CCEEFF" w:val="clear"/>
            <w:vAlign w:val="center"/>
          </w:tcPr>
          <w:p>
            <w:pPr>
              <w:pStyle w:val="TableContents"/>
              <w:bidi w:val="0"/>
              <w:spacing w:before="0" w:after="283"/>
              <w:jc w:val="right"/>
              <w:rPr/>
            </w:pPr>
            <w:r>
              <w:rPr/>
              <w:t>31,189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273</w:t>
            </w:r>
          </w:p>
        </w:tc>
        <w:tc>
          <w:tcPr>
            <w:tcW w:w="114" w:type="dxa"/>
            <w:tcBorders/>
            <w:shd w:fill="CCEEFF" w:val="clear"/>
            <w:vAlign w:val="center"/>
          </w:tcPr>
          <w:p>
            <w:pPr>
              <w:pStyle w:val="TableContents"/>
              <w:bidi w:val="0"/>
              <w:spacing w:before="0" w:after="283"/>
              <w:jc w:val="left"/>
              <w:rPr/>
            </w:pPr>
            <w:r>
              <w:rPr/>
              <w:t> </w:t>
            </w:r>
            <w:bookmarkStart w:id="214" w:name="xdx_40C_eus-gaap--AdjustmentsToAdditiona"/>
            <w:bookmarkEnd w:id="214"/>
          </w:p>
        </w:tc>
      </w:tr>
      <w:tr>
        <w:trPr/>
        <w:tc>
          <w:tcPr>
            <w:tcW w:w="2201"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pPr>
            <w:r>
              <w:rPr/>
              <w:t>220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220</w:t>
            </w:r>
          </w:p>
        </w:tc>
        <w:tc>
          <w:tcPr>
            <w:tcW w:w="114" w:type="dxa"/>
            <w:tcBorders/>
            <w:shd w:fill="FFFFFF" w:val="clear"/>
            <w:vAlign w:val="center"/>
          </w:tcPr>
          <w:p>
            <w:pPr>
              <w:pStyle w:val="TableContents"/>
              <w:bidi w:val="0"/>
              <w:spacing w:before="0" w:after="283"/>
              <w:jc w:val="left"/>
              <w:rPr/>
            </w:pPr>
            <w:r>
              <w:rPr/>
              <w:t> </w:t>
            </w:r>
          </w:p>
        </w:tc>
      </w:tr>
      <w:tr>
        <w:trPr/>
        <w:tc>
          <w:tcPr>
            <w:tcW w:w="2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15" w:name="xdx_43F_c20250401__20250630_eus-gaap--St"/>
            <w:bookmarkEnd w:id="215"/>
          </w:p>
        </w:tc>
      </w:tr>
      <w:tr>
        <w:trPr/>
        <w:tc>
          <w:tcPr>
            <w:tcW w:w="2201" w:type="dxa"/>
            <w:tcBorders/>
            <w:shd w:fill="FFFFFF" w:val="clear"/>
            <w:vAlign w:val="center"/>
          </w:tcPr>
          <w:p>
            <w:pPr>
              <w:pStyle w:val="TableContents"/>
              <w:bidi w:val="0"/>
              <w:spacing w:before="0" w:after="283"/>
              <w:jc w:val="left"/>
              <w:rPr>
                <w:b/>
              </w:rPr>
            </w:pPr>
            <w:r>
              <w:rPr>
                <w:b/>
              </w:rPr>
              <w:t>Balance - March 31, 2025</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16" w:name="xdx_988_eus-gaap--SharesOutstanding_iS_p"/>
            <w:bookmarkEnd w:id="216"/>
          </w:p>
        </w:tc>
        <w:tc>
          <w:tcPr>
            <w:tcW w:w="652" w:type="dxa"/>
            <w:tcBorders>
              <w:bottom w:val="single" w:sz="8" w:space="0" w:color="000000"/>
            </w:tcBorders>
            <w:shd w:fill="FFFFFF" w:val="clear"/>
            <w:tcMar>
              <w:bottom w:w="28" w:type="dxa"/>
            </w:tcMar>
            <w:vAlign w:val="center"/>
          </w:tcPr>
          <w:p>
            <w:pPr>
              <w:pStyle w:val="TableContents"/>
              <w:bidi w:val="0"/>
              <w:spacing w:before="0" w:after="283"/>
              <w:jc w:val="right"/>
              <w:rPr/>
            </w:pPr>
            <w:r>
              <w:rPr/>
              <w:t>320</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2,907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17" w:name="xdx_98E_eus-gaap--SharesOutstanding_iS_p"/>
            <w:bookmarkEnd w:id="217"/>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758,965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pPr>
            <w:r>
              <w:rPr/>
              <w:t>73,306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(88,951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(15,645</w:t>
            </w:r>
          </w:p>
        </w:tc>
        <w:tc>
          <w:tcPr>
            <w:tcW w:w="114" w:type="dxa"/>
            <w:tcBorders/>
            <w:shd w:fill="FFFFFF" w:val="clear"/>
            <w:vAlign w:val="center"/>
          </w:tcPr>
          <w:p>
            <w:pPr>
              <w:pStyle w:val="TableContents"/>
              <w:bidi w:val="0"/>
              <w:spacing w:before="0" w:after="283"/>
              <w:jc w:val="left"/>
              <w:rPr/>
            </w:pPr>
            <w:r>
              <w:rPr/>
              <w:t>)</w:t>
            </w:r>
            <w:bookmarkStart w:id="218" w:name="xdx_400_eus-gaap--NetIncomeLoss_pn3n3_z8"/>
            <w:bookmarkEnd w:id="218"/>
          </w:p>
        </w:tc>
      </w:tr>
      <w:tr>
        <w:trPr/>
        <w:tc>
          <w:tcPr>
            <w:tcW w:w="220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(7,034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(7,034</w:t>
            </w:r>
          </w:p>
        </w:tc>
        <w:tc>
          <w:tcPr>
            <w:tcW w:w="114" w:type="dxa"/>
            <w:tcBorders/>
            <w:shd w:fill="CCEEFF" w:val="clear"/>
            <w:vAlign w:val="center"/>
          </w:tcPr>
          <w:p>
            <w:pPr>
              <w:pStyle w:val="TableContents"/>
              <w:bidi w:val="0"/>
              <w:spacing w:before="0" w:after="283"/>
              <w:jc w:val="left"/>
              <w:rPr/>
            </w:pPr>
            <w:r>
              <w:rPr/>
              <w:t>)</w:t>
            </w:r>
            <w:bookmarkStart w:id="219" w:name="xdx_406_eus-gaap--StockIssuedDuringPerio"/>
            <w:bookmarkEnd w:id="219"/>
          </w:p>
        </w:tc>
      </w:tr>
      <w:tr>
        <w:trPr/>
        <w:tc>
          <w:tcPr>
            <w:tcW w:w="2201" w:type="dxa"/>
            <w:tcBorders/>
            <w:shd w:fill="FFFFFF" w:val="clear"/>
            <w:vAlign w:val="center"/>
          </w:tcPr>
          <w:p>
            <w:pPr>
              <w:pStyle w:val="TableContents"/>
              <w:bidi w:val="0"/>
              <w:spacing w:before="0" w:after="283"/>
              <w:jc w:val="left"/>
              <w:rPr/>
            </w:pPr>
            <w:r>
              <w:rPr/>
              <w:t>Share issuance under ESPP</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0" w:name="xdx_98C_eus-gaap--StockIssuedDuringPerio"/>
            <w:bookmarkEnd w:id="220"/>
          </w:p>
        </w:tc>
        <w:tc>
          <w:tcPr>
            <w:tcW w:w="1100" w:type="dxa"/>
            <w:tcBorders/>
            <w:shd w:fill="FFFFFF" w:val="clear"/>
            <w:vAlign w:val="center"/>
          </w:tcPr>
          <w:p>
            <w:pPr>
              <w:pStyle w:val="TableContents"/>
              <w:bidi w:val="0"/>
              <w:spacing w:before="0" w:after="283"/>
              <w:jc w:val="right"/>
              <w:rPr/>
            </w:pPr>
            <w:r>
              <w:rPr/>
              <w:t>8,751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73</w:t>
            </w:r>
          </w:p>
        </w:tc>
        <w:tc>
          <w:tcPr>
            <w:tcW w:w="114" w:type="dxa"/>
            <w:tcBorders/>
            <w:shd w:fill="FFFFFF" w:val="clear"/>
            <w:vAlign w:val="center"/>
          </w:tcPr>
          <w:p>
            <w:pPr>
              <w:pStyle w:val="TableContents"/>
              <w:bidi w:val="0"/>
              <w:spacing w:before="0" w:after="283"/>
              <w:jc w:val="left"/>
              <w:rPr/>
            </w:pPr>
            <w:r>
              <w:rPr/>
              <w:t> </w:t>
            </w:r>
            <w:bookmarkStart w:id="221" w:name="xdx_407_eus-gaap--StockIssuedDuringPerio"/>
            <w:bookmarkEnd w:id="221"/>
          </w:p>
        </w:tc>
      </w:tr>
      <w:tr>
        <w:trPr/>
        <w:tc>
          <w:tcPr>
            <w:tcW w:w="2201" w:type="dxa"/>
            <w:tcBorders/>
            <w:shd w:fill="CCEEFF" w:val="clear"/>
            <w:vAlign w:val="center"/>
          </w:tcPr>
          <w:p>
            <w:pPr>
              <w:pStyle w:val="TableContents"/>
              <w:bidi w:val="0"/>
              <w:spacing w:before="0" w:after="283"/>
              <w:jc w:val="left"/>
              <w:rPr/>
            </w:pPr>
            <w:r>
              <w:rPr/>
              <w:t>Redeemable preferred stock issued, net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bookmarkStart w:id="222" w:name="xdx_98F_eus-gaap--StockIssuedDuringPerio"/>
            <w:bookmarkEnd w:id="222"/>
          </w:p>
        </w:tc>
        <w:tc>
          <w:tcPr>
            <w:tcW w:w="652" w:type="dxa"/>
            <w:tcBorders/>
            <w:shd w:fill="CCEEFF" w:val="clear"/>
            <w:vAlign w:val="center"/>
          </w:tcPr>
          <w:p>
            <w:pPr>
              <w:pStyle w:val="TableContents"/>
              <w:bidi w:val="0"/>
              <w:spacing w:before="0" w:after="283"/>
              <w:jc w:val="right"/>
              <w:rPr/>
            </w:pPr>
            <w:r>
              <w:rPr/>
              <w:t>450</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223" w:name="xdx_402_ecustom--StockIssuedDuringPeriod"/>
            <w:bookmarkEnd w:id="223"/>
          </w:p>
        </w:tc>
      </w:tr>
      <w:tr>
        <w:trPr/>
        <w:tc>
          <w:tcPr>
            <w:tcW w:w="2201" w:type="dxa"/>
            <w:tcBorders/>
            <w:shd w:fill="FFFFFF" w:val="clear"/>
            <w:vAlign w:val="center"/>
          </w:tcPr>
          <w:p>
            <w:pPr>
              <w:pStyle w:val="TableContents"/>
              <w:bidi w:val="0"/>
              <w:spacing w:before="0" w:after="283"/>
              <w:jc w:val="left"/>
              <w:rPr/>
            </w:pPr>
            <w:r>
              <w:rPr/>
              <w:t>Shares issued for vested restricted stock units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4" w:name="xdx_98A_ecustom--StockIssuedDuringPeriod"/>
            <w:bookmarkEnd w:id="224"/>
          </w:p>
        </w:tc>
        <w:tc>
          <w:tcPr>
            <w:tcW w:w="1100" w:type="dxa"/>
            <w:tcBorders/>
            <w:shd w:fill="FFFFFF" w:val="clear"/>
            <w:vAlign w:val="center"/>
          </w:tcPr>
          <w:p>
            <w:pPr>
              <w:pStyle w:val="TableContents"/>
              <w:bidi w:val="0"/>
              <w:spacing w:before="0" w:after="283"/>
              <w:jc w:val="right"/>
              <w:rPr/>
            </w:pPr>
            <w:r>
              <w:rPr/>
              <w:t>6,434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25" w:name="xdx_408_eus-gaap--StockIssuedDuringPerio"/>
            <w:bookmarkEnd w:id="225"/>
          </w:p>
        </w:tc>
      </w:tr>
      <w:tr>
        <w:trPr/>
        <w:tc>
          <w:tcPr>
            <w:tcW w:w="2201" w:type="dxa"/>
            <w:tcBorders/>
            <w:shd w:fill="CCEEFF" w:val="clear"/>
            <w:vAlign w:val="center"/>
          </w:tcPr>
          <w:p>
            <w:pPr>
              <w:pStyle w:val="TableContents"/>
              <w:bidi w:val="0"/>
              <w:spacing w:before="0" w:after="283"/>
              <w:jc w:val="left"/>
              <w:rPr/>
            </w:pPr>
            <w:r>
              <w:rPr/>
              <w:t>Conversion of preferred stock to common stock</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bookmarkStart w:id="226" w:name="xdx_98E_eus-gaap--StockIssuedDuringPerio"/>
            <w:bookmarkEnd w:id="226"/>
          </w:p>
        </w:tc>
        <w:tc>
          <w:tcPr>
            <w:tcW w:w="652" w:type="dxa"/>
            <w:tcBorders/>
            <w:shd w:fill="CCEEFF" w:val="clear"/>
            <w:vAlign w:val="center"/>
          </w:tcPr>
          <w:p>
            <w:pPr>
              <w:pStyle w:val="TableContents"/>
              <w:bidi w:val="0"/>
              <w:spacing w:before="0" w:after="283"/>
              <w:jc w:val="right"/>
              <w:rPr/>
            </w:pPr>
            <w:r>
              <w:rPr/>
              <w:t>(634</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(5,812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7" w:name="xdx_983_eus-gaap--StockIssuedDuringPerio"/>
            <w:bookmarkEnd w:id="227"/>
          </w:p>
        </w:tc>
        <w:tc>
          <w:tcPr>
            <w:tcW w:w="1100" w:type="dxa"/>
            <w:tcBorders/>
            <w:shd w:fill="CCEEFF" w:val="clear"/>
            <w:vAlign w:val="center"/>
          </w:tcPr>
          <w:p>
            <w:pPr>
              <w:pStyle w:val="TableContents"/>
              <w:bidi w:val="0"/>
              <w:spacing w:before="0" w:after="283"/>
              <w:jc w:val="right"/>
              <w:rPr/>
            </w:pPr>
            <w:r>
              <w:rPr/>
              <w:t>2,968,489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5,812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5,812</w:t>
            </w:r>
          </w:p>
        </w:tc>
        <w:tc>
          <w:tcPr>
            <w:tcW w:w="114" w:type="dxa"/>
            <w:tcBorders/>
            <w:shd w:fill="CCEEFF" w:val="clear"/>
            <w:vAlign w:val="center"/>
          </w:tcPr>
          <w:p>
            <w:pPr>
              <w:pStyle w:val="TableContents"/>
              <w:bidi w:val="0"/>
              <w:spacing w:before="0" w:after="283"/>
              <w:jc w:val="left"/>
              <w:rPr/>
            </w:pPr>
            <w:r>
              <w:rPr/>
              <w:t> </w:t>
            </w:r>
            <w:bookmarkStart w:id="228" w:name="xdx_40C_eus-gaap--AdjustmentsToAdditiona"/>
            <w:bookmarkEnd w:id="228"/>
          </w:p>
        </w:tc>
      </w:tr>
      <w:tr>
        <w:trPr/>
        <w:tc>
          <w:tcPr>
            <w:tcW w:w="2201"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pPr>
            <w:r>
              <w:rPr/>
              <w:t>190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190</w:t>
            </w:r>
          </w:p>
        </w:tc>
        <w:tc>
          <w:tcPr>
            <w:tcW w:w="114" w:type="dxa"/>
            <w:tcBorders/>
            <w:shd w:fill="FFFFFF" w:val="clear"/>
            <w:vAlign w:val="center"/>
          </w:tcPr>
          <w:p>
            <w:pPr>
              <w:pStyle w:val="TableContents"/>
              <w:bidi w:val="0"/>
              <w:spacing w:before="0" w:after="283"/>
              <w:jc w:val="left"/>
              <w:rPr/>
            </w:pPr>
            <w:r>
              <w:rPr/>
              <w:t> </w:t>
            </w:r>
          </w:p>
        </w:tc>
      </w:tr>
      <w:tr>
        <w:trPr/>
        <w:tc>
          <w:tcPr>
            <w:tcW w:w="2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29" w:name="xdx_437_c20250401__20250630_eus-gaap--St"/>
            <w:bookmarkEnd w:id="229"/>
          </w:p>
        </w:tc>
      </w:tr>
      <w:tr>
        <w:trPr/>
        <w:tc>
          <w:tcPr>
            <w:tcW w:w="2201" w:type="dxa"/>
            <w:tcBorders/>
            <w:shd w:fill="FFFFFF" w:val="clear"/>
            <w:vAlign w:val="center"/>
          </w:tcPr>
          <w:p>
            <w:pPr>
              <w:pStyle w:val="TableContents"/>
              <w:bidi w:val="0"/>
              <w:spacing w:before="0" w:after="283"/>
              <w:jc w:val="left"/>
              <w:rPr>
                <w:b/>
              </w:rPr>
            </w:pPr>
            <w:r>
              <w:rPr>
                <w:b/>
              </w:rPr>
              <w:t>Balance - June 30, 2025</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bookmarkStart w:id="230" w:name="xdx_980_eus-gaap--SharesOutstanding_iE_p"/>
            <w:bookmarkEnd w:id="230"/>
          </w:p>
        </w:tc>
        <w:tc>
          <w:tcPr>
            <w:tcW w:w="652" w:type="dxa"/>
            <w:tcBorders/>
            <w:shd w:fill="FFFFFF" w:val="clear"/>
            <w:vAlign w:val="center"/>
          </w:tcPr>
          <w:p>
            <w:pPr>
              <w:pStyle w:val="TableContents"/>
              <w:bidi w:val="0"/>
              <w:spacing w:before="0" w:after="283"/>
              <w:jc w:val="right"/>
              <w:rPr/>
            </w:pPr>
            <w:r>
              <w:rPr/>
              <w:t>136</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1,245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1" w:name="xdx_98C_eus-gaap--SharesOutstanding_iE_p"/>
            <w:bookmarkEnd w:id="231"/>
          </w:p>
        </w:tc>
        <w:tc>
          <w:tcPr>
            <w:tcW w:w="1100" w:type="dxa"/>
            <w:tcBorders/>
            <w:shd w:fill="FFFFFF" w:val="clear"/>
            <w:vAlign w:val="center"/>
          </w:tcPr>
          <w:p>
            <w:pPr>
              <w:pStyle w:val="TableContents"/>
              <w:bidi w:val="0"/>
              <w:spacing w:before="0" w:after="283"/>
              <w:jc w:val="right"/>
              <w:rPr/>
            </w:pPr>
            <w:r>
              <w:rPr/>
              <w:t>3,742,639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79,381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(95,985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(16,604</w:t>
            </w:r>
          </w:p>
        </w:tc>
        <w:tc>
          <w:tcPr>
            <w:tcW w:w="11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ind w:left="0" w:right="0" w:hanging="0"/>
        <w:jc w:val="both"/>
        <w:rPr>
          <w:caps/>
        </w:rPr>
      </w:pPr>
      <w:r>
        <w:rPr>
          <w: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bookmarkStart w:id="232" w:name="sh_004"/>
      <w:bookmarkEnd w:id="232"/>
      <w:r>
        <w:rPr>
          <w:rFonts w:ascii="Times New Roman;Times;Serif" w:hAnsi="Times New Roman;Times;Serif"/>
          <w:b/>
          <w:i w:val="false"/>
          <w:caps/>
          <w:sz w:val="20"/>
        </w:rPr>
        <w:t>Unaudited Condensed Consolidated Statements of Cash Flows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 the Six Months Ended June 30, 2026 and 2025</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w:t>
      </w:r>
    </w:p>
    <w:p>
      <w:pPr>
        <w:pStyle w:val="TextBody"/>
        <w:bidi w:val="0"/>
        <w:spacing w:before="0" w:after="0"/>
        <w:ind w:left="0" w:right="0" w:hanging="0"/>
        <w:jc w:val="center"/>
        <w:rPr>
          <w:caps/>
        </w:rPr>
      </w:pPr>
      <w:r>
        <w:rPr>
          <w:caps/>
        </w:rPr>
        <w:t> </w:t>
      </w:r>
    </w:p>
    <w:p>
      <w:pPr>
        <w:pStyle w:val="Normal"/>
        <w:bidi w:val="0"/>
        <w:spacing w:before="0" w:after="0"/>
        <w:jc w:val="left"/>
        <w:rPr>
          <w:sz w:val="4"/>
          <w:szCs w:val="4"/>
        </w:rPr>
      </w:pPr>
      <w:r>
        <w:rPr>
          <w:sz w:val="4"/>
          <w:szCs w:val="4"/>
        </w:rPr>
      </w:r>
      <w:bookmarkStart w:id="233" w:name="xdx_30A_112_pn3n3_zZx4NoW89HV"/>
      <w:bookmarkStart w:id="234" w:name="xdx_30A_112_pn3n3_zZx4NoW89HV"/>
      <w:bookmarkEnd w:id="234"/>
    </w:p>
    <w:tbl>
      <w:tblPr>
        <w:tblW w:w="6680" w:type="dxa"/>
        <w:jc w:val="left"/>
        <w:tblInd w:w="0" w:type="dxa"/>
        <w:tblLayout w:type="fixed"/>
        <w:tblCellMar>
          <w:top w:w="0" w:type="dxa"/>
          <w:left w:w="0" w:type="dxa"/>
          <w:bottom w:w="0" w:type="dxa"/>
          <w:right w:w="0" w:type="dxa"/>
        </w:tblCellMar>
      </w:tblPr>
      <w:tblGrid>
        <w:gridCol w:w="4565"/>
        <w:gridCol w:w="60"/>
        <w:gridCol w:w="140"/>
        <w:gridCol w:w="755"/>
        <w:gridCol w:w="95"/>
        <w:gridCol w:w="60"/>
        <w:gridCol w:w="140"/>
        <w:gridCol w:w="755"/>
        <w:gridCol w:w="110"/>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5" w:name="xdx_496_20260101__20260630_znnG7Wt7wqj7"/>
            <w:bookmarkEnd w:id="235"/>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6" w:name="xdx_497_20250101__20250630_zeXBg80kTHmg"/>
            <w:bookmarkEnd w:id="236"/>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bookmarkStart w:id="237" w:name="xdx_400_eus-gaap--NetCashProvidedByUsedI"/>
            <w:bookmarkEnd w:id="237"/>
          </w:p>
        </w:tc>
      </w:tr>
      <w:tr>
        <w:trPr/>
        <w:tc>
          <w:tcPr>
            <w:tcW w:w="4565" w:type="dxa"/>
            <w:tcBorders/>
            <w:shd w:fill="CCEEFF" w:val="clear"/>
            <w:vAlign w:val="center"/>
          </w:tcPr>
          <w:p>
            <w:pPr>
              <w:pStyle w:val="TableContents"/>
              <w:bidi w:val="0"/>
              <w:spacing w:before="0" w:after="283"/>
              <w:jc w:val="both"/>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8" w:name="xdx_406_eus-gaap--NetIncomeLoss_i01_maCz"/>
            <w:bookmarkEnd w:id="238"/>
          </w:p>
        </w:tc>
      </w:tr>
      <w:tr>
        <w:trPr/>
        <w:tc>
          <w:tcPr>
            <w:tcW w:w="4565" w:type="dxa"/>
            <w:tcBorders/>
            <w:shd w:fill="FFFFFF" w:val="clear"/>
            <w:vAlign w:val="center"/>
          </w:tcPr>
          <w:p>
            <w:pPr>
              <w:pStyle w:val="TableContents"/>
              <w:bidi w:val="0"/>
              <w:spacing w:before="0" w:after="283"/>
              <w:jc w:val="both"/>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(11,011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(13,831</w:t>
            </w:r>
          </w:p>
        </w:tc>
        <w:tc>
          <w:tcPr>
            <w:tcW w:w="110" w:type="dxa"/>
            <w:tcBorders/>
            <w:shd w:fill="FFFFFF" w:val="clear"/>
            <w:vAlign w:val="center"/>
          </w:tcPr>
          <w:p>
            <w:pPr>
              <w:pStyle w:val="TableContents"/>
              <w:bidi w:val="0"/>
              <w:spacing w:before="0" w:after="283"/>
              <w:jc w:val="left"/>
              <w:rPr/>
            </w:pPr>
            <w:r>
              <w:rPr/>
              <w:t>)</w:t>
            </w:r>
            <w:bookmarkStart w:id="239" w:name="xdx_40B_eus-gaap--AdjustmentsToReconcile"/>
            <w:bookmarkEnd w:id="239"/>
          </w:p>
        </w:tc>
      </w:tr>
      <w:tr>
        <w:trPr/>
        <w:tc>
          <w:tcPr>
            <w:tcW w:w="4565" w:type="dxa"/>
            <w:tcBorders/>
            <w:shd w:fill="CCEEFF" w:val="clear"/>
            <w:vAlign w:val="center"/>
          </w:tcPr>
          <w:p>
            <w:pPr>
              <w:pStyle w:val="TableContents"/>
              <w:bidi w:val="0"/>
              <w:spacing w:before="0" w:after="283"/>
              <w:jc w:val="both"/>
              <w:rPr/>
            </w:pPr>
            <w:r>
              <w:rPr/>
              <w:t>Adjustments to Reconcile Net Loss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0" w:name="xdx_404_eus-gaap--ShareBasedCompensation"/>
            <w:bookmarkEnd w:id="240"/>
          </w:p>
        </w:tc>
      </w:tr>
      <w:tr>
        <w:trPr/>
        <w:tc>
          <w:tcPr>
            <w:tcW w:w="4565" w:type="dxa"/>
            <w:tcBorders/>
            <w:shd w:fill="CCEEFF" w:val="clear"/>
            <w:vAlign w:val="center"/>
          </w:tcPr>
          <w:p>
            <w:pPr>
              <w:pStyle w:val="TableContents"/>
              <w:bidi w:val="0"/>
              <w:spacing w:before="0" w:after="283"/>
              <w:jc w:val="both"/>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410</w:t>
            </w:r>
          </w:p>
        </w:tc>
        <w:tc>
          <w:tcPr>
            <w:tcW w:w="110" w:type="dxa"/>
            <w:tcBorders/>
            <w:shd w:fill="CCEEFF" w:val="clear"/>
            <w:vAlign w:val="center"/>
          </w:tcPr>
          <w:p>
            <w:pPr>
              <w:pStyle w:val="TableContents"/>
              <w:bidi w:val="0"/>
              <w:spacing w:before="0" w:after="283"/>
              <w:jc w:val="left"/>
              <w:rPr/>
            </w:pPr>
            <w:r>
              <w:rPr/>
              <w:t> </w:t>
            </w:r>
            <w:bookmarkStart w:id="241" w:name="xdx_40E_eus-gaap--AmortizationOfDebtDisc"/>
            <w:bookmarkEnd w:id="241"/>
          </w:p>
        </w:tc>
      </w:tr>
      <w:tr>
        <w:trPr/>
        <w:tc>
          <w:tcPr>
            <w:tcW w:w="4565" w:type="dxa"/>
            <w:tcBorders/>
            <w:shd w:fill="FFFFFF" w:val="clear"/>
            <w:vAlign w:val="center"/>
          </w:tcPr>
          <w:p>
            <w:pPr>
              <w:pStyle w:val="TableContents"/>
              <w:bidi w:val="0"/>
              <w:spacing w:before="0" w:after="283"/>
              <w:jc w:val="both"/>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2,784</w:t>
            </w:r>
          </w:p>
        </w:tc>
        <w:tc>
          <w:tcPr>
            <w:tcW w:w="110" w:type="dxa"/>
            <w:tcBorders/>
            <w:shd w:fill="FFFFFF" w:val="clear"/>
            <w:vAlign w:val="center"/>
          </w:tcPr>
          <w:p>
            <w:pPr>
              <w:pStyle w:val="TableContents"/>
              <w:bidi w:val="0"/>
              <w:spacing w:before="0" w:after="283"/>
              <w:jc w:val="left"/>
              <w:rPr/>
            </w:pPr>
            <w:r>
              <w:rPr/>
              <w:t> </w:t>
            </w:r>
            <w:bookmarkStart w:id="242" w:name="xdx_401_eus-gaap--FairValueAdjustmentOfW"/>
            <w:bookmarkEnd w:id="242"/>
          </w:p>
        </w:tc>
      </w:tr>
      <w:tr>
        <w:trPr/>
        <w:tc>
          <w:tcPr>
            <w:tcW w:w="4565" w:type="dxa"/>
            <w:tcBorders/>
            <w:shd w:fill="CCEEFF" w:val="clear"/>
            <w:vAlign w:val="center"/>
          </w:tcPr>
          <w:p>
            <w:pPr>
              <w:pStyle w:val="TableContents"/>
              <w:bidi w:val="0"/>
              <w:spacing w:before="0" w:after="283"/>
              <w:jc w:val="both"/>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(5,507</w:t>
            </w:r>
          </w:p>
        </w:tc>
        <w:tc>
          <w:tcPr>
            <w:tcW w:w="110" w:type="dxa"/>
            <w:tcBorders/>
            <w:shd w:fill="CCEEFF" w:val="clear"/>
            <w:vAlign w:val="center"/>
          </w:tcPr>
          <w:p>
            <w:pPr>
              <w:pStyle w:val="TableContents"/>
              <w:bidi w:val="0"/>
              <w:spacing w:before="0" w:after="283"/>
              <w:jc w:val="left"/>
              <w:rPr/>
            </w:pPr>
            <w:r>
              <w:rPr/>
              <w:t>)</w:t>
            </w:r>
            <w:bookmarkStart w:id="243" w:name="xdx_404_eus-gaap--PaidInKindInterest_i02"/>
            <w:bookmarkEnd w:id="243"/>
          </w:p>
        </w:tc>
      </w:tr>
      <w:tr>
        <w:trPr/>
        <w:tc>
          <w:tcPr>
            <w:tcW w:w="4565" w:type="dxa"/>
            <w:tcBorders/>
            <w:shd w:fill="FFFFFF" w:val="clear"/>
            <w:vAlign w:val="center"/>
          </w:tcPr>
          <w:p>
            <w:pPr>
              <w:pStyle w:val="TableContents"/>
              <w:bidi w:val="0"/>
              <w:spacing w:before="0" w:after="283"/>
              <w:jc w:val="both"/>
              <w:rPr/>
            </w:pPr>
            <w:r>
              <w:rPr/>
              <w:t>Non-cash interest expense (paid-in kind)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7,306</w:t>
            </w:r>
          </w:p>
        </w:tc>
        <w:tc>
          <w:tcPr>
            <w:tcW w:w="110" w:type="dxa"/>
            <w:tcBorders/>
            <w:shd w:fill="FFFFFF" w:val="clear"/>
            <w:vAlign w:val="center"/>
          </w:tcPr>
          <w:p>
            <w:pPr>
              <w:pStyle w:val="TableContents"/>
              <w:bidi w:val="0"/>
              <w:spacing w:before="0" w:after="283"/>
              <w:jc w:val="left"/>
              <w:rPr/>
            </w:pPr>
            <w:r>
              <w:rPr/>
              <w:t> </w:t>
            </w:r>
            <w:bookmarkStart w:id="244" w:name="xdx_401_eus-gaap--ProvisionForDoubtfulAc"/>
            <w:bookmarkEnd w:id="244"/>
          </w:p>
        </w:tc>
      </w:tr>
      <w:tr>
        <w:trPr/>
        <w:tc>
          <w:tcPr>
            <w:tcW w:w="4565" w:type="dxa"/>
            <w:tcBorders/>
            <w:shd w:fill="CCEEFF" w:val="clear"/>
            <w:vAlign w:val="center"/>
          </w:tcPr>
          <w:p>
            <w:pPr>
              <w:pStyle w:val="TableContents"/>
              <w:bidi w:val="0"/>
              <w:spacing w:before="0" w:after="283"/>
              <w:jc w:val="both"/>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70</w:t>
            </w:r>
          </w:p>
        </w:tc>
        <w:tc>
          <w:tcPr>
            <w:tcW w:w="110" w:type="dxa"/>
            <w:tcBorders/>
            <w:shd w:fill="CCEEFF" w:val="clear"/>
            <w:vAlign w:val="center"/>
          </w:tcPr>
          <w:p>
            <w:pPr>
              <w:pStyle w:val="TableContents"/>
              <w:bidi w:val="0"/>
              <w:spacing w:before="0" w:after="283"/>
              <w:jc w:val="left"/>
              <w:rPr/>
            </w:pPr>
            <w:r>
              <w:rPr/>
              <w:t> </w:t>
            </w:r>
            <w:bookmarkStart w:id="245" w:name="xdx_40B_eus-gaap--DepreciationDepletionA"/>
            <w:bookmarkEnd w:id="245"/>
          </w:p>
        </w:tc>
      </w:tr>
      <w:tr>
        <w:trPr/>
        <w:tc>
          <w:tcPr>
            <w:tcW w:w="4565" w:type="dxa"/>
            <w:tcBorders/>
            <w:shd w:fill="FFFFFF" w:val="clear"/>
            <w:vAlign w:val="center"/>
          </w:tcPr>
          <w:p>
            <w:pPr>
              <w:pStyle w:val="TableContents"/>
              <w:bidi w:val="0"/>
              <w:spacing w:before="0" w:after="283"/>
              <w:jc w:val="both"/>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1,350</w:t>
            </w:r>
          </w:p>
        </w:tc>
        <w:tc>
          <w:tcPr>
            <w:tcW w:w="110" w:type="dxa"/>
            <w:tcBorders/>
            <w:shd w:fill="FFFFFF" w:val="clear"/>
            <w:vAlign w:val="center"/>
          </w:tcPr>
          <w:p>
            <w:pPr>
              <w:pStyle w:val="TableContents"/>
              <w:bidi w:val="0"/>
              <w:spacing w:before="0" w:after="283"/>
              <w:jc w:val="left"/>
              <w:rPr/>
            </w:pPr>
            <w:r>
              <w:rPr/>
              <w:t> </w:t>
            </w:r>
            <w:bookmarkStart w:id="246" w:name="xdx_405_eus-gaap--OperatingLeaseRightOfU"/>
            <w:bookmarkEnd w:id="246"/>
          </w:p>
        </w:tc>
      </w:tr>
      <w:tr>
        <w:trPr/>
        <w:tc>
          <w:tcPr>
            <w:tcW w:w="4565" w:type="dxa"/>
            <w:tcBorders/>
            <w:shd w:fill="CCEEFF" w:val="clear"/>
            <w:vAlign w:val="center"/>
          </w:tcPr>
          <w:p>
            <w:pPr>
              <w:pStyle w:val="TableContents"/>
              <w:bidi w:val="0"/>
              <w:spacing w:before="0" w:after="283"/>
              <w:jc w:val="both"/>
              <w:rPr/>
            </w:pPr>
            <w:r>
              <w:rPr/>
              <w:t>Amortization of right of use of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1,324</w:t>
            </w:r>
          </w:p>
        </w:tc>
        <w:tc>
          <w:tcPr>
            <w:tcW w:w="110" w:type="dxa"/>
            <w:tcBorders/>
            <w:shd w:fill="CCEEFF" w:val="clear"/>
            <w:vAlign w:val="center"/>
          </w:tcPr>
          <w:p>
            <w:pPr>
              <w:pStyle w:val="TableContents"/>
              <w:bidi w:val="0"/>
              <w:spacing w:before="0" w:after="283"/>
              <w:jc w:val="left"/>
              <w:rPr/>
            </w:pPr>
            <w:r>
              <w:rPr/>
              <w:t> </w:t>
            </w:r>
            <w:bookmarkStart w:id="247" w:name="xdx_40A_eus-gaap--IncreaseDecreaseInOper"/>
            <w:bookmarkEnd w:id="247"/>
          </w:p>
        </w:tc>
      </w:tr>
      <w:tr>
        <w:trPr/>
        <w:tc>
          <w:tcPr>
            <w:tcW w:w="4565" w:type="dxa"/>
            <w:tcBorders/>
            <w:shd w:fill="FFFFFF" w:val="clear"/>
            <w:vAlign w:val="center"/>
          </w:tcPr>
          <w:p>
            <w:pPr>
              <w:pStyle w:val="TableContents"/>
              <w:bidi w:val="0"/>
              <w:spacing w:before="0" w:after="283"/>
              <w:jc w:val="both"/>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8" w:name="xdx_40E_eus-gaap--IncreaseDecreaseInAcco"/>
            <w:bookmarkEnd w:id="248"/>
          </w:p>
        </w:tc>
      </w:tr>
      <w:tr>
        <w:trPr/>
        <w:tc>
          <w:tcPr>
            <w:tcW w:w="4565" w:type="dxa"/>
            <w:tcBorders/>
            <w:shd w:fill="CCEEFF" w:val="clear"/>
            <w:vAlign w:val="center"/>
          </w:tcPr>
          <w:p>
            <w:pPr>
              <w:pStyle w:val="TableContents"/>
              <w:bidi w:val="0"/>
              <w:spacing w:before="0" w:after="283"/>
              <w:jc w:val="both"/>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(1,223</w:t>
            </w:r>
          </w:p>
        </w:tc>
        <w:tc>
          <w:tcPr>
            <w:tcW w:w="110" w:type="dxa"/>
            <w:tcBorders/>
            <w:shd w:fill="CCEEFF" w:val="clear"/>
            <w:vAlign w:val="center"/>
          </w:tcPr>
          <w:p>
            <w:pPr>
              <w:pStyle w:val="TableContents"/>
              <w:bidi w:val="0"/>
              <w:spacing w:before="0" w:after="283"/>
              <w:jc w:val="left"/>
              <w:rPr/>
            </w:pPr>
            <w:r>
              <w:rPr/>
              <w:t>)</w:t>
            </w:r>
            <w:bookmarkStart w:id="249" w:name="xdx_40F_eus-gaap--IncreaseDecreaseInInve"/>
            <w:bookmarkEnd w:id="249"/>
          </w:p>
        </w:tc>
      </w:tr>
      <w:tr>
        <w:trPr/>
        <w:tc>
          <w:tcPr>
            <w:tcW w:w="4565" w:type="dxa"/>
            <w:tcBorders/>
            <w:shd w:fill="FFFFFF" w:val="clear"/>
            <w:vAlign w:val="center"/>
          </w:tcPr>
          <w:p>
            <w:pPr>
              <w:pStyle w:val="TableContents"/>
              <w:bidi w:val="0"/>
              <w:spacing w:before="0" w:after="283"/>
              <w:jc w:val="both"/>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663</w:t>
            </w:r>
          </w:p>
        </w:tc>
        <w:tc>
          <w:tcPr>
            <w:tcW w:w="110" w:type="dxa"/>
            <w:tcBorders/>
            <w:shd w:fill="FFFFFF" w:val="clear"/>
            <w:vAlign w:val="center"/>
          </w:tcPr>
          <w:p>
            <w:pPr>
              <w:pStyle w:val="TableContents"/>
              <w:bidi w:val="0"/>
              <w:spacing w:before="0" w:after="283"/>
              <w:jc w:val="left"/>
              <w:rPr/>
            </w:pPr>
            <w:r>
              <w:rPr/>
              <w:t> </w:t>
            </w:r>
            <w:bookmarkStart w:id="250" w:name="xdx_40D_eus-gaap--IncreaseDecreaseInPrep"/>
            <w:bookmarkEnd w:id="250"/>
          </w:p>
        </w:tc>
      </w:tr>
      <w:tr>
        <w:trPr/>
        <w:tc>
          <w:tcPr>
            <w:tcW w:w="4565" w:type="dxa"/>
            <w:tcBorders/>
            <w:shd w:fill="CCEEFF" w:val="clear"/>
            <w:vAlign w:val="center"/>
          </w:tcPr>
          <w:p>
            <w:pPr>
              <w:pStyle w:val="TableContents"/>
              <w:bidi w:val="0"/>
              <w:spacing w:before="0" w:after="283"/>
              <w:jc w:val="both"/>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w:t>
            </w:r>
          </w:p>
        </w:tc>
        <w:tc>
          <w:tcPr>
            <w:tcW w:w="110" w:type="dxa"/>
            <w:tcBorders/>
            <w:shd w:fill="CCEEFF" w:val="clear"/>
            <w:vAlign w:val="center"/>
          </w:tcPr>
          <w:p>
            <w:pPr>
              <w:pStyle w:val="TableContents"/>
              <w:bidi w:val="0"/>
              <w:spacing w:before="0" w:after="283"/>
              <w:jc w:val="left"/>
              <w:rPr/>
            </w:pPr>
            <w:r>
              <w:rPr/>
              <w:t>)</w:t>
            </w:r>
            <w:bookmarkStart w:id="251" w:name="xdx_409_ecustom--IncreaseDecreaseInPrepa"/>
            <w:bookmarkEnd w:id="251"/>
          </w:p>
        </w:tc>
      </w:tr>
      <w:tr>
        <w:trPr/>
        <w:tc>
          <w:tcPr>
            <w:tcW w:w="4565" w:type="dxa"/>
            <w:tcBorders/>
            <w:shd w:fill="FFFFFF" w:val="clear"/>
            <w:vAlign w:val="center"/>
          </w:tcPr>
          <w:p>
            <w:pPr>
              <w:pStyle w:val="TableContents"/>
              <w:bidi w:val="0"/>
              <w:spacing w:before="0" w:after="283"/>
              <w:jc w:val="both"/>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(152</w:t>
            </w:r>
          </w:p>
        </w:tc>
        <w:tc>
          <w:tcPr>
            <w:tcW w:w="110" w:type="dxa"/>
            <w:tcBorders/>
            <w:shd w:fill="FFFFFF" w:val="clear"/>
            <w:vAlign w:val="center"/>
          </w:tcPr>
          <w:p>
            <w:pPr>
              <w:pStyle w:val="TableContents"/>
              <w:bidi w:val="0"/>
              <w:spacing w:before="0" w:after="283"/>
              <w:jc w:val="left"/>
              <w:rPr/>
            </w:pPr>
            <w:r>
              <w:rPr/>
              <w:t>)</w:t>
            </w:r>
            <w:bookmarkStart w:id="252" w:name="xdx_40B_ecustom--IncreaseDecreaseInPrepa"/>
            <w:bookmarkEnd w:id="252"/>
          </w:p>
        </w:tc>
      </w:tr>
      <w:tr>
        <w:trPr/>
        <w:tc>
          <w:tcPr>
            <w:tcW w:w="4565" w:type="dxa"/>
            <w:tcBorders/>
            <w:shd w:fill="CCEEFF" w:val="clear"/>
            <w:vAlign w:val="center"/>
          </w:tcPr>
          <w:p>
            <w:pPr>
              <w:pStyle w:val="TableContents"/>
              <w:bidi w:val="0"/>
              <w:spacing w:before="0" w:after="283"/>
              <w:jc w:val="both"/>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53" w:name="xdx_40B_eus-gaap--IncreaseDecreaseInOthe"/>
            <w:bookmarkEnd w:id="253"/>
          </w:p>
        </w:tc>
      </w:tr>
      <w:tr>
        <w:trPr/>
        <w:tc>
          <w:tcPr>
            <w:tcW w:w="4565" w:type="dxa"/>
            <w:tcBorders/>
            <w:shd w:fill="FFFFFF" w:val="clear"/>
            <w:vAlign w:val="center"/>
          </w:tcPr>
          <w:p>
            <w:pPr>
              <w:pStyle w:val="TableContents"/>
              <w:bidi w:val="0"/>
              <w:spacing w:before="0" w:after="283"/>
              <w:jc w:val="both"/>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w:t>
            </w:r>
          </w:p>
        </w:tc>
        <w:tc>
          <w:tcPr>
            <w:tcW w:w="110" w:type="dxa"/>
            <w:tcBorders/>
            <w:shd w:fill="FFFFFF" w:val="clear"/>
            <w:vAlign w:val="center"/>
          </w:tcPr>
          <w:p>
            <w:pPr>
              <w:pStyle w:val="TableContents"/>
              <w:bidi w:val="0"/>
              <w:spacing w:before="0" w:after="283"/>
              <w:jc w:val="left"/>
              <w:rPr/>
            </w:pPr>
            <w:r>
              <w:rPr/>
              <w:t> </w:t>
            </w:r>
            <w:bookmarkStart w:id="254" w:name="xdx_405_eus-gaap--IncreaseDecreaseInOthe"/>
            <w:bookmarkEnd w:id="254"/>
          </w:p>
        </w:tc>
      </w:tr>
      <w:tr>
        <w:trPr/>
        <w:tc>
          <w:tcPr>
            <w:tcW w:w="4565" w:type="dxa"/>
            <w:tcBorders/>
            <w:shd w:fill="CCEEFF" w:val="clear"/>
            <w:vAlign w:val="center"/>
          </w:tcPr>
          <w:p>
            <w:pPr>
              <w:pStyle w:val="TableContents"/>
              <w:bidi w:val="0"/>
              <w:spacing w:before="0" w:after="283"/>
              <w:jc w:val="both"/>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jc w:val="left"/>
              <w:rPr/>
            </w:pPr>
            <w:r>
              <w:rPr/>
              <w:t>)</w:t>
            </w:r>
            <w:bookmarkStart w:id="255" w:name="xdx_40C_eus-gaap--IncreaseDecreaseInAcco"/>
            <w:bookmarkEnd w:id="255"/>
          </w:p>
        </w:tc>
      </w:tr>
      <w:tr>
        <w:trPr/>
        <w:tc>
          <w:tcPr>
            <w:tcW w:w="4565" w:type="dxa"/>
            <w:tcBorders/>
            <w:shd w:fill="FFFFFF" w:val="clear"/>
            <w:vAlign w:val="center"/>
          </w:tcPr>
          <w:p>
            <w:pPr>
              <w:pStyle w:val="TableContents"/>
              <w:bidi w:val="0"/>
              <w:spacing w:before="0" w:after="283"/>
              <w:jc w:val="both"/>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905</w:t>
            </w:r>
          </w:p>
        </w:tc>
        <w:tc>
          <w:tcPr>
            <w:tcW w:w="110" w:type="dxa"/>
            <w:tcBorders/>
            <w:shd w:fill="FFFFFF" w:val="clear"/>
            <w:vAlign w:val="center"/>
          </w:tcPr>
          <w:p>
            <w:pPr>
              <w:pStyle w:val="TableContents"/>
              <w:bidi w:val="0"/>
              <w:spacing w:before="0" w:after="283"/>
              <w:jc w:val="left"/>
              <w:rPr/>
            </w:pPr>
            <w:r>
              <w:rPr/>
              <w:t> </w:t>
            </w:r>
            <w:bookmarkStart w:id="256" w:name="xdx_40C_eus-gaap--IncreaseDecreaseInOper"/>
            <w:bookmarkEnd w:id="256"/>
          </w:p>
        </w:tc>
      </w:tr>
      <w:tr>
        <w:trPr/>
        <w:tc>
          <w:tcPr>
            <w:tcW w:w="4565" w:type="dxa"/>
            <w:tcBorders/>
            <w:shd w:fill="CCEEFF" w:val="clear"/>
            <w:vAlign w:val="center"/>
          </w:tcPr>
          <w:p>
            <w:pPr>
              <w:pStyle w:val="TableContents"/>
              <w:bidi w:val="0"/>
              <w:spacing w:before="0" w:after="283"/>
              <w:jc w:val="both"/>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(1,436</w:t>
            </w:r>
          </w:p>
        </w:tc>
        <w:tc>
          <w:tcPr>
            <w:tcW w:w="110" w:type="dxa"/>
            <w:tcBorders/>
            <w:shd w:fill="CCEEFF" w:val="clear"/>
            <w:vAlign w:val="center"/>
          </w:tcPr>
          <w:p>
            <w:pPr>
              <w:pStyle w:val="TableContents"/>
              <w:bidi w:val="0"/>
              <w:spacing w:before="0" w:after="283"/>
              <w:jc w:val="left"/>
              <w:rPr/>
            </w:pPr>
            <w:r>
              <w:rPr/>
              <w:t>)</w:t>
            </w:r>
            <w:bookmarkStart w:id="257" w:name="xdx_407_ecustom--IncreaseDecreaseInAccru"/>
            <w:bookmarkEnd w:id="257"/>
          </w:p>
        </w:tc>
      </w:tr>
      <w:tr>
        <w:trPr/>
        <w:tc>
          <w:tcPr>
            <w:tcW w:w="4565" w:type="dxa"/>
            <w:tcBorders/>
            <w:shd w:fill="FFFFFF" w:val="clear"/>
            <w:vAlign w:val="center"/>
          </w:tcPr>
          <w:p>
            <w:pPr>
              <w:pStyle w:val="TableContents"/>
              <w:bidi w:val="0"/>
              <w:spacing w:before="0" w:after="283"/>
              <w:jc w:val="both"/>
              <w:rPr/>
            </w:pPr>
            <w:r>
              <w:rPr/>
              <w:t>Accrued tariffs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296</w:t>
            </w:r>
          </w:p>
        </w:tc>
        <w:tc>
          <w:tcPr>
            <w:tcW w:w="110" w:type="dxa"/>
            <w:tcBorders/>
            <w:shd w:fill="FFFFFF" w:val="clear"/>
            <w:vAlign w:val="center"/>
          </w:tcPr>
          <w:p>
            <w:pPr>
              <w:pStyle w:val="TableContents"/>
              <w:bidi w:val="0"/>
              <w:spacing w:before="0" w:after="283"/>
              <w:jc w:val="left"/>
              <w:rPr/>
            </w:pPr>
            <w:r>
              <w:rPr/>
              <w:t> </w:t>
            </w:r>
            <w:bookmarkStart w:id="258" w:name="xdx_403_ecustom--IncreaseDecreaseInAccru"/>
            <w:bookmarkEnd w:id="258"/>
          </w:p>
        </w:tc>
      </w:tr>
      <w:tr>
        <w:trPr/>
        <w:tc>
          <w:tcPr>
            <w:tcW w:w="4565" w:type="dxa"/>
            <w:tcBorders/>
            <w:shd w:fill="CCEEFF" w:val="clear"/>
            <w:vAlign w:val="center"/>
          </w:tcPr>
          <w:p>
            <w:pPr>
              <w:pStyle w:val="TableContents"/>
              <w:bidi w:val="0"/>
              <w:spacing w:before="0" w:after="283"/>
              <w:jc w:val="both"/>
              <w:rPr/>
            </w:pPr>
            <w:r>
              <w:rPr/>
              <w:t>Accrued settlement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(187</w:t>
            </w:r>
          </w:p>
        </w:tc>
        <w:tc>
          <w:tcPr>
            <w:tcW w:w="110" w:type="dxa"/>
            <w:tcBorders/>
            <w:shd w:fill="CCEEFF" w:val="clear"/>
            <w:vAlign w:val="center"/>
          </w:tcPr>
          <w:p>
            <w:pPr>
              <w:pStyle w:val="TableContents"/>
              <w:bidi w:val="0"/>
              <w:spacing w:before="0" w:after="283"/>
              <w:jc w:val="left"/>
              <w:rPr/>
            </w:pPr>
            <w:r>
              <w:rPr/>
              <w:t>)</w:t>
            </w:r>
            <w:bookmarkStart w:id="259" w:name="xdx_40E_eus-gaap--IncreaseDecreaseInDefe"/>
            <w:bookmarkEnd w:id="259"/>
          </w:p>
        </w:tc>
      </w:tr>
      <w:tr>
        <w:trPr/>
        <w:tc>
          <w:tcPr>
            <w:tcW w:w="4565" w:type="dxa"/>
            <w:tcBorders/>
            <w:shd w:fill="FFFFFF" w:val="clear"/>
            <w:vAlign w:val="center"/>
          </w:tcPr>
          <w:p>
            <w:pPr>
              <w:pStyle w:val="TableContents"/>
              <w:bidi w:val="0"/>
              <w:spacing w:before="0" w:after="283"/>
              <w:jc w:val="both"/>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(500</w:t>
            </w:r>
          </w:p>
        </w:tc>
        <w:tc>
          <w:tcPr>
            <w:tcW w:w="110" w:type="dxa"/>
            <w:tcBorders/>
            <w:shd w:fill="FFFFFF" w:val="clear"/>
            <w:vAlign w:val="center"/>
          </w:tcPr>
          <w:p>
            <w:pPr>
              <w:pStyle w:val="TableContents"/>
              <w:bidi w:val="0"/>
              <w:spacing w:before="0" w:after="283"/>
              <w:jc w:val="left"/>
              <w:rPr/>
            </w:pPr>
            <w:r>
              <w:rPr/>
              <w:t>)</w:t>
            </w:r>
            <w:bookmarkStart w:id="260" w:name="xdx_406_eus-gaap--IncreaseDecreaseInAccr"/>
            <w:bookmarkEnd w:id="260"/>
          </w:p>
        </w:tc>
      </w:tr>
      <w:tr>
        <w:trPr/>
        <w:tc>
          <w:tcPr>
            <w:tcW w:w="4565" w:type="dxa"/>
            <w:tcBorders/>
            <w:shd w:fill="CCEEFF" w:val="clear"/>
            <w:vAlign w:val="center"/>
          </w:tcPr>
          <w:p>
            <w:pPr>
              <w:pStyle w:val="TableContents"/>
              <w:bidi w:val="0"/>
              <w:spacing w:before="0" w:after="283"/>
              <w:jc w:val="both"/>
              <w:rPr/>
            </w:pPr>
            <w:r>
              <w:rPr/>
              <w:t>Income tax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w:t>
            </w:r>
            <w:bookmarkStart w:id="261" w:name="xdx_40F_eus-gaap--IncreaseDecreaseInCont"/>
            <w:bookmarkEnd w:id="261"/>
          </w:p>
        </w:tc>
      </w:tr>
      <w:tr>
        <w:trPr/>
        <w:tc>
          <w:tcPr>
            <w:tcW w:w="4565" w:type="dxa"/>
            <w:tcBorders/>
            <w:shd w:fill="FFFFFF" w:val="clear"/>
            <w:vAlign w:val="center"/>
          </w:tcPr>
          <w:p>
            <w:pPr>
              <w:pStyle w:val="TableContents"/>
              <w:bidi w:val="0"/>
              <w:spacing w:before="0" w:after="283"/>
              <w:jc w:val="both"/>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(151</w:t>
            </w:r>
          </w:p>
        </w:tc>
        <w:tc>
          <w:tcPr>
            <w:tcW w:w="110" w:type="dxa"/>
            <w:tcBorders/>
            <w:shd w:fill="FFFFFF" w:val="clear"/>
            <w:vAlign w:val="center"/>
          </w:tcPr>
          <w:p>
            <w:pPr>
              <w:pStyle w:val="TableContents"/>
              <w:bidi w:val="0"/>
              <w:spacing w:before="0" w:after="283"/>
              <w:jc w:val="left"/>
              <w:rPr/>
            </w:pPr>
            <w:r>
              <w:rPr/>
              <w:t>)</w:t>
            </w:r>
            <w:bookmarkStart w:id="262" w:name="xdx_404_eus-gaap--AdjustmentsToReconcile"/>
            <w:bookmarkEnd w:id="262"/>
          </w:p>
        </w:tc>
      </w:tr>
      <w:tr>
        <w:trPr/>
        <w:tc>
          <w:tcPr>
            <w:tcW w:w="4565" w:type="dxa"/>
            <w:tcBorders/>
            <w:shd w:fill="CCEEFF" w:val="clear"/>
            <w:vAlign w:val="center"/>
          </w:tcPr>
          <w:p>
            <w:pPr>
              <w:pStyle w:val="TableContents"/>
              <w:bidi w:val="0"/>
              <w:spacing w:before="0" w:after="283"/>
              <w:jc w:val="both"/>
              <w:rPr/>
            </w:pPr>
            <w:r>
              <w:rPr/>
              <w:t>Total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5,966</w:t>
            </w:r>
          </w:p>
        </w:tc>
        <w:tc>
          <w:tcPr>
            <w:tcW w:w="110" w:type="dxa"/>
            <w:tcBorders/>
            <w:shd w:fill="CCEEFF" w:val="clear"/>
            <w:vAlign w:val="center"/>
          </w:tcPr>
          <w:p>
            <w:pPr>
              <w:pStyle w:val="TableContents"/>
              <w:bidi w:val="0"/>
              <w:spacing w:before="0" w:after="283"/>
              <w:jc w:val="left"/>
              <w:rPr/>
            </w:pPr>
            <w:r>
              <w:rPr/>
              <w:t> </w:t>
            </w:r>
            <w:bookmarkStart w:id="263" w:name="xdx_400_eus-gaap--NetCashProvidedByUsedI"/>
            <w:bookmarkEnd w:id="263"/>
          </w:p>
        </w:tc>
      </w:tr>
      <w:tr>
        <w:trPr/>
        <w:tc>
          <w:tcPr>
            <w:tcW w:w="4565" w:type="dxa"/>
            <w:tcBorders/>
            <w:shd w:fill="FFFFFF" w:val="clear"/>
            <w:vAlign w:val="center"/>
          </w:tcPr>
          <w:p>
            <w:pPr>
              <w:pStyle w:val="TableContents"/>
              <w:bidi w:val="0"/>
              <w:spacing w:before="0" w:after="283"/>
              <w:jc w:val="both"/>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(10,641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(7,865</w:t>
            </w:r>
          </w:p>
        </w:tc>
        <w:tc>
          <w:tcPr>
            <w:tcW w:w="110" w:type="dxa"/>
            <w:tcBorders/>
            <w:shd w:fill="FFFFFF" w:val="clear"/>
            <w:vAlign w:val="center"/>
          </w:tcPr>
          <w:p>
            <w:pPr>
              <w:pStyle w:val="TableContents"/>
              <w:bidi w:val="0"/>
              <w:spacing w:before="0" w:after="283"/>
              <w:jc w:val="left"/>
              <w:rPr/>
            </w:pPr>
            <w:r>
              <w:rPr/>
              <w:t>)</w:t>
            </w:r>
          </w:p>
        </w:tc>
      </w:tr>
      <w:tr>
        <w:trPr/>
        <w:tc>
          <w:tcPr>
            <w:tcW w:w="4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4" w:name="xdx_40B_eus-gaap--NetCashProvidedByUsedI"/>
            <w:bookmarkEnd w:id="264"/>
          </w:p>
        </w:tc>
      </w:tr>
      <w:tr>
        <w:trPr/>
        <w:tc>
          <w:tcPr>
            <w:tcW w:w="4565" w:type="dxa"/>
            <w:tcBorders/>
            <w:shd w:fill="FFFFFF" w:val="clear"/>
            <w:vAlign w:val="center"/>
          </w:tcPr>
          <w:p>
            <w:pPr>
              <w:pStyle w:val="TableContents"/>
              <w:bidi w:val="0"/>
              <w:spacing w:before="0" w:after="283"/>
              <w:jc w:val="both"/>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5" w:name="xdx_408_eus-gaap--PaymentsToAcquireIntan"/>
            <w:bookmarkEnd w:id="265"/>
          </w:p>
        </w:tc>
      </w:tr>
      <w:tr>
        <w:trPr/>
        <w:tc>
          <w:tcPr>
            <w:tcW w:w="4565" w:type="dxa"/>
            <w:tcBorders/>
            <w:shd w:fill="CCEEFF" w:val="clear"/>
            <w:vAlign w:val="center"/>
          </w:tcPr>
          <w:p>
            <w:pPr>
              <w:pStyle w:val="TableContents"/>
              <w:bidi w:val="0"/>
              <w:spacing w:before="0" w:after="283"/>
              <w:jc w:val="both"/>
              <w:rPr/>
            </w:pPr>
            <w:r>
              <w:rPr/>
              <w:t>Purchase of intangibles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66" w:name="xdx_408_eus-gaap--PaymentsToAcquirePrope"/>
            <w:bookmarkEnd w:id="266"/>
          </w:p>
        </w:tc>
      </w:tr>
      <w:tr>
        <w:trPr/>
        <w:tc>
          <w:tcPr>
            <w:tcW w:w="4565" w:type="dxa"/>
            <w:tcBorders/>
            <w:shd w:fill="FFFFFF" w:val="clear"/>
            <w:vAlign w:val="center"/>
          </w:tcPr>
          <w:p>
            <w:pPr>
              <w:pStyle w:val="TableContents"/>
              <w:bidi w:val="0"/>
              <w:spacing w:before="0" w:after="283"/>
              <w:jc w:val="both"/>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(1,621</w:t>
            </w:r>
          </w:p>
        </w:tc>
        <w:tc>
          <w:tcPr>
            <w:tcW w:w="110" w:type="dxa"/>
            <w:tcBorders/>
            <w:shd w:fill="FFFFFF" w:val="clear"/>
            <w:vAlign w:val="center"/>
          </w:tcPr>
          <w:p>
            <w:pPr>
              <w:pStyle w:val="TableContents"/>
              <w:bidi w:val="0"/>
              <w:spacing w:before="0" w:after="283"/>
              <w:jc w:val="left"/>
              <w:rPr/>
            </w:pPr>
            <w:r>
              <w:rPr/>
              <w:t>)</w:t>
            </w:r>
            <w:bookmarkStart w:id="267" w:name="xdx_409_eus-gaap--NetCashProvidedByUsedI"/>
            <w:bookmarkEnd w:id="267"/>
          </w:p>
        </w:tc>
      </w:tr>
      <w:tr>
        <w:trPr/>
        <w:tc>
          <w:tcPr>
            <w:tcW w:w="4565" w:type="dxa"/>
            <w:tcBorders/>
            <w:shd w:fill="CCEEFF" w:val="clear"/>
            <w:vAlign w:val="center"/>
          </w:tcPr>
          <w:p>
            <w:pPr>
              <w:pStyle w:val="TableContents"/>
              <w:bidi w:val="0"/>
              <w:spacing w:before="0" w:after="283"/>
              <w:jc w:val="both"/>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(1,621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Statements of Cash Flows (continued)</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 the Six Months Ended June 30, 2026 and 2025</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8450" w:type="dxa"/>
        <w:jc w:val="left"/>
        <w:tblInd w:w="0" w:type="dxa"/>
        <w:tblLayout w:type="fixed"/>
        <w:tblCellMar>
          <w:top w:w="0" w:type="dxa"/>
          <w:left w:w="0" w:type="dxa"/>
          <w:bottom w:w="0" w:type="dxa"/>
          <w:right w:w="0" w:type="dxa"/>
        </w:tblCellMar>
      </w:tblPr>
      <w:tblGrid>
        <w:gridCol w:w="6710"/>
        <w:gridCol w:w="60"/>
        <w:gridCol w:w="125"/>
        <w:gridCol w:w="650"/>
        <w:gridCol w:w="80"/>
        <w:gridCol w:w="60"/>
        <w:gridCol w:w="125"/>
        <w:gridCol w:w="545"/>
        <w:gridCol w:w="95"/>
      </w:tblGrid>
      <w:tr>
        <w:trPr/>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(continued from previous page)</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95" w:type="dxa"/>
            <w:tcBorders/>
            <w:vAlign w:val="center"/>
          </w:tcPr>
          <w:p>
            <w:pPr>
              <w:pStyle w:val="TableContents"/>
              <w:bidi w:val="0"/>
              <w:spacing w:before="0" w:after="283"/>
              <w:jc w:val="left"/>
              <w:rPr/>
            </w:pPr>
            <w:r>
              <w:rPr/>
              <w:t> </w:t>
            </w:r>
            <w:bookmarkStart w:id="268" w:name="xdx_405_eus-gaap--NetCashProvidedByUsedI"/>
            <w:bookmarkEnd w:id="268"/>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269" w:name="xdx_404_ecustom--ProceedsFromIssuanceIni"/>
            <w:bookmarkEnd w:id="269"/>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public offering (ATM),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829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63</w:t>
            </w:r>
          </w:p>
        </w:tc>
        <w:tc>
          <w:tcPr>
            <w:tcW w:w="95" w:type="dxa"/>
            <w:tcBorders/>
            <w:shd w:fill="FFFFFF" w:val="clear"/>
            <w:vAlign w:val="center"/>
          </w:tcPr>
          <w:p>
            <w:pPr>
              <w:pStyle w:val="TableContents"/>
              <w:bidi w:val="0"/>
              <w:spacing w:before="0" w:after="283"/>
              <w:jc w:val="left"/>
              <w:rPr/>
            </w:pPr>
            <w:r>
              <w:rPr/>
              <w:t> </w:t>
            </w:r>
            <w:bookmarkStart w:id="270" w:name="xdx_408_eus-gaap--RepaymentsOfNotesPayab"/>
            <w:bookmarkEnd w:id="270"/>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note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(478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bookmarkStart w:id="271" w:name="xdx_405_eus-gaap--ProceedsFromIssuanceOf"/>
            <w:bookmarkEnd w:id="271"/>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preferred stock offering, net of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7,330</w:t>
            </w:r>
          </w:p>
        </w:tc>
        <w:tc>
          <w:tcPr>
            <w:tcW w:w="95" w:type="dxa"/>
            <w:tcBorders/>
            <w:shd w:fill="FFFFFF" w:val="clear"/>
            <w:vAlign w:val="center"/>
          </w:tcPr>
          <w:p>
            <w:pPr>
              <w:pStyle w:val="TableContents"/>
              <w:bidi w:val="0"/>
              <w:spacing w:before="0" w:after="283"/>
              <w:jc w:val="left"/>
              <w:rPr/>
            </w:pPr>
            <w:r>
              <w:rPr/>
              <w:t> </w:t>
            </w:r>
            <w:bookmarkStart w:id="272" w:name="xdx_409_eus-gaap--FinanceLeasePrincipalP"/>
            <w:bookmarkEnd w:id="272"/>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payments on finance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(24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(23</w:t>
            </w:r>
          </w:p>
        </w:tc>
        <w:tc>
          <w:tcPr>
            <w:tcW w:w="95" w:type="dxa"/>
            <w:tcBorders/>
            <w:shd w:fill="CCEEFF" w:val="clear"/>
            <w:vAlign w:val="center"/>
          </w:tcPr>
          <w:p>
            <w:pPr>
              <w:pStyle w:val="TableContents"/>
              <w:bidi w:val="0"/>
              <w:spacing w:before="0" w:after="283"/>
              <w:jc w:val="left"/>
              <w:rPr>
                <w:sz w:val="20"/>
              </w:rPr>
            </w:pPr>
            <w:r>
              <w:rPr>
                <w:sz w:val="20"/>
              </w:rPr>
              <w:t>)</w:t>
            </w:r>
            <w:bookmarkStart w:id="273" w:name="xdx_407_ecustom--TaxesPaidRelatedToNetSe"/>
            <w:bookmarkEnd w:id="273"/>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 paid related to net settlement of RSUs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(87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bookmarkStart w:id="274" w:name="xdx_40A_eus-gaap--PaymentsOfOrdinaryDivi"/>
            <w:bookmarkEnd w:id="274"/>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dividends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(818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bookmarkStart w:id="275" w:name="xdx_40A_eus-gaap--NetCashProvidedByUsedI"/>
            <w:bookmarkEnd w:id="275"/>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(578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7,370</w:t>
            </w:r>
          </w:p>
        </w:tc>
        <w:tc>
          <w:tcPr>
            <w:tcW w:w="95"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276" w:name="xdx_405_eus-gaap--CashCashEquivalentsRes"/>
            <w:bookmarkEnd w:id="276"/>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(11,990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(2,116</w:t>
            </w:r>
          </w:p>
        </w:tc>
        <w:tc>
          <w:tcPr>
            <w:tcW w:w="95" w:type="dxa"/>
            <w:tcBorders/>
            <w:shd w:fill="FFFFFF" w:val="clear"/>
            <w:vAlign w:val="center"/>
          </w:tcPr>
          <w:p>
            <w:pPr>
              <w:pStyle w:val="TableContents"/>
              <w:bidi w:val="0"/>
              <w:spacing w:before="0" w:after="283"/>
              <w:jc w:val="left"/>
              <w:rPr>
                <w:sz w:val="20"/>
              </w:rPr>
            </w:pPr>
            <w:r>
              <w:rPr>
                <w:sz w:val="20"/>
              </w:rPr>
              <w:t>)</w:t>
            </w:r>
            <w:bookmarkStart w:id="277" w:name="xdx_401_eus-gaap--CashCashEquivalentsRes"/>
            <w:bookmarkEnd w:id="277"/>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Beginning Cash and cash equivalents -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18,270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4,849</w:t>
            </w:r>
          </w:p>
        </w:tc>
        <w:tc>
          <w:tcPr>
            <w:tcW w:w="95" w:type="dxa"/>
            <w:tcBorders/>
            <w:shd w:fill="CCEEFF" w:val="clear"/>
            <w:vAlign w:val="center"/>
          </w:tcPr>
          <w:p>
            <w:pPr>
              <w:pStyle w:val="TableContents"/>
              <w:bidi w:val="0"/>
              <w:spacing w:before="0" w:after="283"/>
              <w:jc w:val="left"/>
              <w:rPr/>
            </w:pPr>
            <w:r>
              <w:rPr/>
              <w:t> </w:t>
            </w:r>
            <w:bookmarkStart w:id="278" w:name="xdx_406_eus-gaap--CashCashEquivalentsRes"/>
            <w:bookmarkEnd w:id="278"/>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Ending Cash and cash equivalents - end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6,280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2,733</w:t>
            </w:r>
          </w:p>
        </w:tc>
        <w:tc>
          <w:tcPr>
            <w:tcW w:w="95"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279" w:name="xdx_40D_eus-gaap--SupplementalCashFlowIn"/>
            <w:bookmarkEnd w:id="279"/>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80" w:name="xdx_40C_eus-gaap--IncomeTaxesPaidNet_i01"/>
            <w:bookmarkEnd w:id="280"/>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w:t>
            </w:r>
          </w:p>
        </w:tc>
        <w:tc>
          <w:tcPr>
            <w:tcW w:w="95" w:type="dxa"/>
            <w:tcBorders/>
            <w:shd w:fill="CCEEFF" w:val="clear"/>
            <w:vAlign w:val="center"/>
          </w:tcPr>
          <w:p>
            <w:pPr>
              <w:pStyle w:val="TableContents"/>
              <w:bidi w:val="0"/>
              <w:spacing w:before="0" w:after="283"/>
              <w:jc w:val="left"/>
              <w:rPr/>
            </w:pPr>
            <w:r>
              <w:rPr/>
              <w:t> </w:t>
            </w:r>
            <w:bookmarkStart w:id="281" w:name="xdx_402_eus-gaap--InterestPaidNet_i01_zO"/>
            <w:bookmarkEnd w:id="281"/>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1,555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w:t>
            </w:r>
          </w:p>
        </w:tc>
        <w:tc>
          <w:tcPr>
            <w:tcW w:w="95" w:type="dxa"/>
            <w:tcBorders/>
            <w:shd w:fill="FFFFFF" w:val="clear"/>
            <w:vAlign w:val="center"/>
          </w:tcPr>
          <w:p>
            <w:pPr>
              <w:pStyle w:val="TableContents"/>
              <w:bidi w:val="0"/>
              <w:spacing w:before="0" w:after="283"/>
              <w:jc w:val="left"/>
              <w:rPr/>
            </w:pPr>
            <w:r>
              <w:rPr/>
              <w:t> </w:t>
            </w:r>
            <w:bookmarkStart w:id="282" w:name="xdx_406_eus-gaap--CashFlowNoncashInvesti"/>
            <w:bookmarkEnd w:id="282"/>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283" w:name="xdx_404_eus-gaap--CapitalExpendituresInc"/>
            <w:bookmarkEnd w:id="283"/>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of property, equipment, and intangibles not yet paid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162</w:t>
            </w:r>
          </w:p>
        </w:tc>
        <w:tc>
          <w:tcPr>
            <w:tcW w:w="95" w:type="dxa"/>
            <w:tcBorders/>
            <w:shd w:fill="FFFFFF" w:val="clear"/>
            <w:vAlign w:val="center"/>
          </w:tcPr>
          <w:p>
            <w:pPr>
              <w:pStyle w:val="TableContents"/>
              <w:bidi w:val="0"/>
              <w:spacing w:before="0" w:after="283"/>
              <w:jc w:val="left"/>
              <w:rPr/>
            </w:pPr>
            <w:r>
              <w:rPr/>
              <w:t> </w:t>
            </w:r>
            <w:bookmarkStart w:id="284" w:name="xdx_405_eus-gaap--RightOfUseAssetObtaine"/>
            <w:bookmarkEnd w:id="284"/>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Recognition of right of use asset obtained in exchange for operating lease liability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642</w:t>
            </w:r>
          </w:p>
        </w:tc>
        <w:tc>
          <w:tcPr>
            <w:tcW w:w="95" w:type="dxa"/>
            <w:tcBorders/>
            <w:shd w:fill="CCEEFF" w:val="clear"/>
            <w:vAlign w:val="center"/>
          </w:tcPr>
          <w:p>
            <w:pPr>
              <w:pStyle w:val="TableContents"/>
              <w:bidi w:val="0"/>
              <w:spacing w:before="0" w:after="283"/>
              <w:jc w:val="left"/>
              <w:rPr/>
            </w:pPr>
            <w:r>
              <w:rPr/>
              <w:t> </w:t>
            </w:r>
            <w:bookmarkStart w:id="285" w:name="xdx_40A_ecustom--RecognitionOfWarrantLia"/>
            <w:bookmarkEnd w:id="285"/>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Recognition of warrant liability - Investor Warrants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696</w:t>
            </w:r>
          </w:p>
        </w:tc>
        <w:tc>
          <w:tcPr>
            <w:tcW w:w="95" w:type="dxa"/>
            <w:tcBorders/>
            <w:shd w:fill="FFFFFF" w:val="clear"/>
            <w:vAlign w:val="center"/>
          </w:tcPr>
          <w:p>
            <w:pPr>
              <w:pStyle w:val="TableContents"/>
              <w:bidi w:val="0"/>
              <w:spacing w:before="0" w:after="283"/>
              <w:jc w:val="left"/>
              <w:rPr/>
            </w:pPr>
            <w:r>
              <w:rPr/>
              <w:t> </w:t>
            </w:r>
            <w:bookmarkStart w:id="286" w:name="xdx_404_ecustom--ConversionOfPreferredSt"/>
            <w:bookmarkEnd w:id="286"/>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preferred stock to 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6,085</w:t>
            </w:r>
          </w:p>
        </w:tc>
        <w:tc>
          <w:tcPr>
            <w:tcW w:w="95" w:type="dxa"/>
            <w:tcBorders/>
            <w:shd w:fill="CCEEFF" w:val="clear"/>
            <w:vAlign w:val="center"/>
          </w:tcPr>
          <w:p>
            <w:pPr>
              <w:pStyle w:val="TableContents"/>
              <w:bidi w:val="0"/>
              <w:spacing w:before="0" w:after="283"/>
              <w:jc w:val="left"/>
              <w:rPr/>
            </w:pPr>
            <w:r>
              <w:rPr/>
              <w:t> </w:t>
            </w:r>
            <w:bookmarkStart w:id="287" w:name="xdx_40A_ecustom--DeclarationOfDividends_"/>
            <w:bookmarkEnd w:id="287"/>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Declaration of dividends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bookmarkStart w:id="288" w:name="xdx_40D_eus-gaap--DividendsPaidinkind_i0"/>
            <w:bookmarkEnd w:id="288"/>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 paid in kind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bookmarkStart w:id="289" w:name="xdx_401_ecustom--AccretionOfPreferredSto"/>
            <w:bookmarkEnd w:id="289"/>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Accretion of preferred stock discount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962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bookmarkStart w:id="290" w:name="xdx_401_ecustom--SettlementOfAccruedLiab"/>
            <w:bookmarkEnd w:id="290"/>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of accrued liability for employee stock purchase plan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73</w:t>
            </w:r>
          </w:p>
        </w:tc>
        <w:tc>
          <w:tcPr>
            <w:tcW w:w="95" w:type="dxa"/>
            <w:tcBorders/>
            <w:shd w:fill="CCEEFF" w:val="clear"/>
            <w:vAlign w:val="center"/>
          </w:tcPr>
          <w:p>
            <w:pPr>
              <w:pStyle w:val="TableContents"/>
              <w:bidi w:val="0"/>
              <w:spacing w:before="0" w:after="283"/>
              <w:jc w:val="left"/>
              <w:rPr/>
            </w:pPr>
            <w:r>
              <w:rPr/>
              <w:t> </w:t>
            </w:r>
            <w:bookmarkStart w:id="291" w:name="xdx_406_ecustom--ReclassificationOfAsset"/>
            <w:bookmarkEnd w:id="291"/>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Reclassification of assets held for sale to machinery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644</w:t>
            </w:r>
          </w:p>
        </w:tc>
        <w:tc>
          <w:tcPr>
            <w:tcW w:w="95" w:type="dxa"/>
            <w:tcBorders/>
            <w:shd w:fill="FFFFFF" w:val="clear"/>
            <w:vAlign w:val="center"/>
          </w:tcPr>
          <w:p>
            <w:pPr>
              <w:pStyle w:val="TableContents"/>
              <w:bidi w:val="0"/>
              <w:spacing w:before="0" w:after="283"/>
              <w:jc w:val="left"/>
              <w:rPr/>
            </w:pPr>
            <w:r>
              <w:rPr/>
              <w:t> </w:t>
            </w:r>
            <w:bookmarkStart w:id="292" w:name="xdx_40A_ecustom--CashlessExerciseOfPenny"/>
            <w:bookmarkEnd w:id="292"/>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Cashless exercise of penny warrants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bookmarkStart w:id="293" w:name="xdx_408_ecustom--ExerciseOfPrefundedWarr"/>
            <w:bookmarkEnd w:id="293"/>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pre-funded warrants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bookmarkStart w:id="294" w:name="sh_005"/>
      <w:bookmarkEnd w:id="294"/>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295" w:name="xdx_801_eus-gaap--NatureOfOperations_zl2"/>
      <w:bookmarkEnd w:id="295"/>
      <w:r>
        <w:rPr>
          <w:rFonts w:ascii="Times New Roman;Times;Serif" w:hAnsi="Times New Roman;Times;Serif"/>
          <w:b/>
          <w:i w:val="false"/>
          <w:caps/>
          <w:sz w:val="20"/>
        </w:rPr>
        <w:t xml:space="preserve">Note 1 - </w:t>
      </w:r>
      <w:bookmarkStart w:id="296" w:name="xdx_82E_zQyUfNYxAoSf"/>
      <w:bookmarkEnd w:id="296"/>
      <w:r>
        <w:rPr>
          <w:rFonts w:ascii="Times New Roman;Times;Serif" w:hAnsi="Times New Roman;Times;Serif"/>
          <w:b/>
          <w:i w:val="false"/>
          <w:caps/>
          <w:sz w:val="20"/>
        </w:rPr>
        <w:t>NATURE OF BUSINESS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(the “Company”) sells lithium ion battery packs for use in a wide variety of applications. The Company sells to distributors under the Dragonfly Energy brand name, and sells direct to consumers under the trade name Battleborn Batteries. In addition, the Company develops technology for improved lithium ion battery manufacturing and assembly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15, 2025, the Company’s Board of Directors approved a </w:t>
      </w:r>
      <w:bookmarkStart w:id="297" w:name="xdx_90B_eus-gaap--StockholdersEquityReve"/>
      <w:bookmarkEnd w:id="297"/>
      <w:r>
        <w:rPr>
          <w:rFonts w:ascii="Times New Roman;Times;Serif" w:hAnsi="Times New Roman;Times;Serif"/>
          <w:b w:val="false"/>
          <w:i w:val="false"/>
          <w:caps w:val="false"/>
          <w:smallCaps w:val="false"/>
          <w:sz w:val="20"/>
        </w:rPr>
        <w:t>1-for-10 reverse stock split of the Company’s common stock, par value $</w:t>
      </w:r>
      <w:bookmarkStart w:id="298" w:name="xdx_908_eus-gaap--CommonStockParOrStated"/>
      <w:bookmarkEnd w:id="298"/>
      <w:r>
        <w:rPr>
          <w:rFonts w:ascii="Times New Roman;Times;Serif" w:hAnsi="Times New Roman;Times;Serif"/>
          <w:b w:val="false"/>
          <w:i w:val="false"/>
          <w:caps w:val="false"/>
          <w:smallCaps w:val="false"/>
          <w:sz w:val="20"/>
        </w:rPr>
        <w:t>0.0001 per share and a corresponding proportional reduction in the number of common stock shares issued and outstanding. The reverse stock split was effected upon market open on December 18, 2025, and shares of common stock began trading on a split-adjusted basis as of market open on December 18,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of common stock, stock option awards and per share amounts contained in the Consolidated Financial Statements and Notes have been retroactively adjusted to reflect the </w:t>
      </w:r>
      <w:bookmarkStart w:id="299" w:name="xdx_90A_eus-gaap--StockholdersEquityReve"/>
      <w:bookmarkEnd w:id="299"/>
      <w:r>
        <w:rPr>
          <w:rFonts w:ascii="Times New Roman;Times;Serif" w:hAnsi="Times New Roman;Times;Serif"/>
          <w:b w:val="false"/>
          <w:i w:val="false"/>
          <w:caps w:val="false"/>
          <w:smallCaps w:val="false"/>
          <w:sz w:val="20"/>
        </w:rPr>
        <w:t>1-for-10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300" w:name="xdx_80A_eus-gaap--SignificantAccountingP"/>
      <w:bookmarkEnd w:id="300"/>
      <w:r>
        <w:rPr>
          <w:rFonts w:ascii="Times New Roman;Times;Serif" w:hAnsi="Times New Roman;Times;Serif"/>
          <w:b/>
          <w:i w:val="false"/>
          <w:caps/>
          <w:sz w:val="20"/>
        </w:rPr>
        <w:t xml:space="preserve">Note 2 – </w:t>
      </w:r>
      <w:bookmarkStart w:id="301" w:name="xdx_826_z25HuApcUTf"/>
      <w:bookmarkEnd w:id="301"/>
      <w:r>
        <w:rPr>
          <w:rFonts w:ascii="Times New Roman;Times;Serif" w:hAnsi="Times New Roman;Times;Serif"/>
          <w:b/>
          <w:i w:val="false"/>
          <w:caps/>
          <w:sz w:val="20"/>
        </w:rPr>
        <w:t>SUMMARY OF SIGNIFICANT ACCOUNTING POLICIES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02" w:name="xdx_860_zJN4Y36NcP37"/>
      <w:bookmarkStart w:id="303" w:name="xdx_846_eus-gaap--BasisOfAccountingPolic"/>
      <w:bookmarkEnd w:id="302"/>
      <w:bookmarkEnd w:id="303"/>
      <w:r>
        <w:rPr>
          <w:rFonts w:ascii="Times New Roman;Times;Serif" w:hAnsi="Times New Roman;Times;Serif"/>
          <w:b w:val="false"/>
          <w:i/>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and related notes have been prepared in accordance with U.S. GAAP for interim financial information, and with the rules and regulations of the United States Securities and Exchange Commission (the “SEC”) set forth in Article 8 of Regulation S-X. Accordingly, they do not include all of the information and footnotes required by accounting principles generally accepted in the United States of America (“U.S. GAAP”) for complete financial statements. The unaudited interim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condensed consolidated financial statements should be read along with the Annual Report on Form 10-K filed with the SEC on March 30, 2026 of the Company for the annual period ended December 31, 2025. The consolidated balance sheet as of December 31, 2025 was derived from the audited consolidated financial statements as of and for the year then 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04" w:name="xdx_86A_z2WyEpCt6b22"/>
      <w:bookmarkStart w:id="305" w:name="xdx_844_eus-gaap--ConsolidationPolicyTex"/>
      <w:bookmarkEnd w:id="304"/>
      <w:bookmarkEnd w:id="305"/>
      <w:r>
        <w:rPr>
          <w:rFonts w:ascii="Times New Roman;Times;Serif" w:hAnsi="Times New Roman;Times;Serif"/>
          <w:b w:val="false"/>
          <w:i/>
          <w:caps w:val="false"/>
          <w:smallCaps w:val="false"/>
          <w:sz w:val="20"/>
          <w:u w:val="single"/>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and related notes have been prepared in accordance with U.S. GAAP and present the consolidated financial statements of the Company and its wholly owned subsidiaries. All significant intercompany transactions and balances are eliminated in consolidation.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06" w:name="xdx_866_z2609F6fHuG7"/>
      <w:bookmarkStart w:id="307" w:name="xdx_845_ecustom--GoingConcernPolicyTextB"/>
      <w:bookmarkEnd w:id="306"/>
      <w:bookmarkEnd w:id="307"/>
      <w:r>
        <w:rPr>
          <w:rFonts w:ascii="Times New Roman;Times;Serif" w:hAnsi="Times New Roman;Times;Serif"/>
          <w:b w:val="false"/>
          <w:i/>
          <w:caps w:val="false"/>
          <w:smallCaps w:val="false"/>
          <w:sz w:val="20"/>
          <w:u w:val="single"/>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and 2025, the Company incurred losses from operations and had negative cash flows from operations. As of June 30, 2026, the Company had $</w:t>
      </w:r>
      <w:bookmarkStart w:id="308" w:name="xdx_905_eus-gaap--CashAndCashEquivalents"/>
      <w:bookmarkEnd w:id="308"/>
      <w:r>
        <w:rPr>
          <w:rFonts w:ascii="Times New Roman;Times;Serif" w:hAnsi="Times New Roman;Times;Serif"/>
          <w:b w:val="false"/>
          <w:i w:val="false"/>
          <w:caps w:val="false"/>
          <w:smallCaps w:val="false"/>
          <w:sz w:val="20"/>
        </w:rPr>
        <w:t>6,280 in cash and cash equivalents and a working capital of $</w:t>
      </w:r>
      <w:bookmarkStart w:id="309" w:name="xdx_90F_ecustom--WorkingCapital_pn3n3_c2"/>
      <w:bookmarkEnd w:id="309"/>
      <w:r>
        <w:rPr>
          <w:rFonts w:ascii="Times New Roman;Times;Serif" w:hAnsi="Times New Roman;Times;Serif"/>
          <w:b w:val="false"/>
          <w:i w:val="false"/>
          <w:caps w:val="false"/>
          <w:smallCaps w:val="false"/>
          <w:sz w:val="20"/>
        </w:rPr>
        <w:t>19,903. The Company’s ability to achieve profitability and positive cash flow depends on , among other factors, its ability to increase revenue, manage operating expenses, execute its strategic cost initiatives, maintain adequate liquidity, and comply with the financial covenants in its outstanding indebtedness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completed several capital raising and debt restructuring transactions, resulting in aggregate net cash proceeds of approximately $</w:t>
      </w:r>
      <w:bookmarkStart w:id="310" w:name="xdx_902_eus-gaap--ProceedsFromContribute"/>
      <w:bookmarkEnd w:id="310"/>
      <w:r>
        <w:rPr>
          <w:rFonts w:ascii="Times New Roman;Times;Serif" w:hAnsi="Times New Roman;Times;Serif"/>
          <w:b w:val="false"/>
          <w:i w:val="false"/>
          <w:caps w:val="false"/>
          <w:smallCaps w:val="false"/>
          <w:sz w:val="20"/>
        </w:rPr>
        <w:t>90,930 and modifications to its term loan that extended the maturity to October 2027, deferred principal and interest payments to January 2026, reduced outstanding principal (including partial cancellation and conversion of principal into preferred stock), and established minimum liquidity covenants. On January 30, 2026, the Company also entered into an at-the-market equity offering program under which it may, at its discretion and subject to market conditions, issue and sell up to $</w:t>
      </w:r>
      <w:bookmarkStart w:id="311" w:name="xdx_907_eus-gaap--StockIssuedDuringPerio"/>
      <w:bookmarkEnd w:id="311"/>
      <w:r>
        <w:rPr>
          <w:rFonts w:ascii="Times New Roman;Times;Serif" w:hAnsi="Times New Roman;Times;Serif"/>
          <w:b w:val="false"/>
          <w:i w:val="false"/>
          <w:caps w:val="false"/>
          <w:smallCaps w:val="false"/>
          <w:sz w:val="20"/>
        </w:rPr>
        <w:t xml:space="preserve">50 million of its common stock from time to time. As of June 30, 2026, the Company sold </w:t>
      </w:r>
      <w:bookmarkStart w:id="312" w:name="xdx_90A_eus-gaap--ConversionOfStockShare"/>
      <w:bookmarkEnd w:id="312"/>
      <w:r>
        <w:rPr>
          <w:rFonts w:ascii="Times New Roman;Times;Serif" w:hAnsi="Times New Roman;Times;Serif"/>
          <w:b w:val="false"/>
          <w:i w:val="false"/>
          <w:caps w:val="false"/>
          <w:smallCaps w:val="false"/>
          <w:sz w:val="20"/>
        </w:rPr>
        <w:t>411,100 shares of common stock for net proceeds of $</w:t>
      </w:r>
      <w:bookmarkStart w:id="313" w:name="xdx_909_eus-gaap--ProceedsFromIssuanceOf"/>
      <w:bookmarkEnd w:id="313"/>
      <w:r>
        <w:rPr>
          <w:rFonts w:ascii="Times New Roman;Times;Serif" w:hAnsi="Times New Roman;Times;Serif"/>
          <w:b w:val="false"/>
          <w:i w:val="false"/>
          <w:caps w:val="false"/>
          <w:smallCaps w:val="false"/>
          <w:sz w:val="20"/>
        </w:rPr>
        <w:t>829. Refer to Annual Report on Form 10-K for the period ended December 31, 2025 for additional information regarding these equity offerings and term loan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the Company entered into the Seventh Amendment (as defined below) to the Term Loan in connection with the Asset Purchase Agreement (as defined below), pursuant to which Legacy Dragonfly acquired substantially all of the operating assets associated with the Dakota Lithium® brand and assumed certain related liabilities (the “Asset Acquisition”). The aggregate purchase price was $</w:t>
      </w:r>
      <w:bookmarkStart w:id="314" w:name="xdx_90A_eus-gaap--StockIssuedDuringPerio"/>
      <w:bookmarkEnd w:id="314"/>
      <w:r>
        <w:rPr>
          <w:rFonts w:ascii="Times New Roman;Times;Serif" w:hAnsi="Times New Roman;Times;Serif"/>
          <w:b w:val="false"/>
          <w:i w:val="false"/>
          <w:caps w:val="false"/>
          <w:smallCaps w:val="false"/>
          <w:sz w:val="20"/>
        </w:rPr>
        <w:t>4,000, consisting of $</w:t>
      </w:r>
      <w:bookmarkStart w:id="315" w:name="xdx_90C_ecustom--ConsistingCashValue_c20"/>
      <w:bookmarkEnd w:id="315"/>
      <w:r>
        <w:rPr>
          <w:rFonts w:ascii="Times New Roman;Times;Serif" w:hAnsi="Times New Roman;Times;Serif"/>
          <w:b w:val="false"/>
          <w:i w:val="false"/>
          <w:caps w:val="false"/>
          <w:smallCaps w:val="false"/>
          <w:sz w:val="20"/>
        </w:rPr>
        <w:t>3,000 of the Company’s common stock and $</w:t>
      </w:r>
      <w:bookmarkStart w:id="316" w:name="xdx_90E_eus-gaap--Cash_iI_c20260731__us-"/>
      <w:bookmarkEnd w:id="316"/>
      <w:r>
        <w:rPr>
          <w:rFonts w:ascii="Times New Roman;Times;Serif" w:hAnsi="Times New Roman;Times;Serif"/>
          <w:b w:val="false"/>
          <w:i w:val="false"/>
          <w:caps w:val="false"/>
          <w:smallCaps w:val="false"/>
          <w:sz w:val="20"/>
        </w:rPr>
        <w:t xml:space="preserve">1,000 in cash. The Seventh Amendment provides additional near-term liquidity flexibility by establishing a payment-in-kind period through December 31, 2026, during which interest accrues at </w:t>
      </w:r>
      <w:bookmarkStart w:id="317" w:name="xdx_905_eus-gaap--DebtInstrumentInterest"/>
      <w:bookmarkEnd w:id="317"/>
      <w:r>
        <w:rPr>
          <w:rFonts w:ascii="Times New Roman;Times;Serif" w:hAnsi="Times New Roman;Times;Serif"/>
          <w:b w:val="false"/>
          <w:i w:val="false"/>
          <w:caps w:val="false"/>
          <w:smallCaps w:val="false"/>
          <w:sz w:val="20"/>
        </w:rPr>
        <w:t>14% per annum and may be satisfied entirely in kind rather than in cash. The Seventh Amendment also reduces the minimum liquidity requirement to $</w:t>
      </w:r>
      <w:bookmarkStart w:id="318" w:name="xdx_908_ecustom--MinimumLiquidityOfAsset"/>
      <w:bookmarkEnd w:id="318"/>
      <w:r>
        <w:rPr>
          <w:rFonts w:ascii="Times New Roman;Times;Serif" w:hAnsi="Times New Roman;Times;Serif"/>
          <w:b w:val="false"/>
          <w:i w:val="false"/>
          <w:caps w:val="false"/>
          <w:smallCaps w:val="false"/>
          <w:sz w:val="20"/>
        </w:rPr>
        <w:t>4,000 at each month-end from August 31, 2026 through January 31, 2027, after which the minimum liquidity requirement increases to $</w:t>
      </w:r>
      <w:bookmarkStart w:id="319" w:name="xdx_903_ecustom--MinimumLiquidityOfIncre"/>
      <w:bookmarkEnd w:id="319"/>
      <w:r>
        <w:rPr>
          <w:rFonts w:ascii="Times New Roman;Times;Serif" w:hAnsi="Times New Roman;Times;Serif"/>
          <w:b w:val="false"/>
          <w:i w:val="false"/>
          <w:caps w:val="false"/>
          <w:smallCaps w:val="false"/>
          <w:sz w:val="20"/>
        </w:rPr>
        <w:t>5,000, and defers the commencement of the maximum senior leverage ratio and fixed charge coverage ratio covenants to the quarter ending September 30, 2027 (from March 31, 2027). Commencing with the fiscal quarter ending September 30, 2027, the maximum senior leverage ratio is 3.00:1.00, and a minimum fixed charge coverage ratio of 1.15:1.00 is required for the trailing four fiscal quarters if liquidity is below $</w:t>
      </w:r>
      <w:bookmarkStart w:id="320" w:name="xdx_90A_ecustom--MinimumLiquidityOfFixed"/>
      <w:bookmarkEnd w:id="320"/>
      <w:r>
        <w:rPr>
          <w:rFonts w:ascii="Times New Roman;Times;Serif" w:hAnsi="Times New Roman;Times;Serif"/>
          <w:b w:val="false"/>
          <w:i w:val="false"/>
          <w:caps w:val="false"/>
          <w:smallCaps w:val="false"/>
          <w:sz w:val="20"/>
        </w:rPr>
        <w:t>15,000 at quarter-end. Additionally, the Company expects to see material revenue generated in the fourth quarter of 2026 from the Asset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the conditions and events described above in relation to the Company’s obligations coming due within one year after the date these condensed consolidated financial statements are issued. In performing this evaluation, management considered the Company’s projected operating performance and cash flows, available cash and liquidity, planned cost reductions, expected revenue-generating activities, access to the at-the-market equity offering program, and the additional liquidity flexibility provided by the Seventh Amendment, including the ability to pay interest in kind through December 31, 2026 and the modification and deferral of certain financial covenant requirements. Based on this evaluation, management expects the Company to achieve profitability and generate positive cash flows from operations within the next twelve months and has concluded that the Company is expected to have sufficient liquidity to meet its obligations as they become due over the next twelve months. Accordingly, management has concluded that although substantial doubt was initially raised, its plans have alleviated substantial doubt about the Company’s ability to continue as a going concern within one year after the date these condensed consolidated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21" w:name="xdx_86B_zD6XtvoHlZhk"/>
      <w:bookmarkStart w:id="322" w:name="xdx_849_eus-gaap--InventoryPolicyTextBlo"/>
      <w:bookmarkEnd w:id="321"/>
      <w:bookmarkEnd w:id="322"/>
      <w:r>
        <w:rPr>
          <w:rFonts w:ascii="Times New Roman;Times;Serif" w:hAnsi="Times New Roman;Times;Serif"/>
          <w:b w:val="false"/>
          <w:i/>
          <w:caps w:val="false"/>
          <w:smallCaps w:val="false"/>
          <w:sz w:val="20"/>
          <w:u w:val="single"/>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Inventories </w:t>
      </w:r>
      <w:r>
        <w:rPr>
          <w:rFonts w:ascii="Times New Roman;Times;Serif" w:hAnsi="Times New Roman;Times;Serif"/>
          <w:b/>
          <w:i w:val="false"/>
          <w:caps w:val="false"/>
          <w:smallCaps w:val="false"/>
          <w:sz w:val="20"/>
        </w:rPr>
        <w:t>(Note 4),</w:t>
      </w:r>
      <w:r>
        <w:rPr>
          <w:rFonts w:ascii="Times New Roman;Times;Serif" w:hAnsi="Times New Roman;Times;Serif"/>
          <w:b w:val="false"/>
          <w:i w:val="false"/>
          <w:caps w:val="false"/>
          <w:smallCaps w:val="false"/>
          <w:sz w:val="20"/>
        </w:rPr>
        <w:t xml:space="preserve"> which consist of raw materials and finished goods, are stated at the lower of cost (first in, first out) or net realizable value, net of reserves for obsolete inventory. The Company continually analyzes its slow moving and excess inventories. Based on historical and projected sales volumes and anticipated selling prices, the Company established reserves. Inventory that is in excess of current and projected use is reduced by an allowance to a level that approximates its estimate of future demand. Products that are determined to be obsolete are written down to net realizable value. The Company had a reserve of $</w:t>
      </w:r>
      <w:bookmarkStart w:id="323" w:name="xdx_902_eus-gaap--InventoryValuationRese"/>
      <w:bookmarkEnd w:id="323"/>
      <w:r>
        <w:rPr>
          <w:rFonts w:ascii="Times New Roman;Times;Serif" w:hAnsi="Times New Roman;Times;Serif"/>
          <w:b w:val="false"/>
          <w:i w:val="false"/>
          <w:caps w:val="false"/>
          <w:smallCaps w:val="false"/>
          <w:sz w:val="20"/>
        </w:rPr>
        <w:t>670 and $</w:t>
      </w:r>
      <w:bookmarkStart w:id="324" w:name="xdx_902_eus-gaap--InventoryValuationRese"/>
      <w:bookmarkEnd w:id="324"/>
      <w:r>
        <w:rPr>
          <w:rFonts w:ascii="Times New Roman;Times;Serif" w:hAnsi="Times New Roman;Times;Serif"/>
          <w:b w:val="false"/>
          <w:i w:val="false"/>
          <w:caps w:val="false"/>
          <w:smallCaps w:val="false"/>
          <w:sz w:val="20"/>
        </w:rPr>
        <w:t>300 as of June 30, 2026 and December 31,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25" w:name="xdx_86A_zcoUfQQYPAWa"/>
      <w:bookmarkStart w:id="326" w:name="xdx_84D_ecustom--TariffReceivablePolicyT"/>
      <w:bookmarkEnd w:id="325"/>
      <w:bookmarkEnd w:id="326"/>
      <w:r>
        <w:rPr>
          <w:rFonts w:ascii="Times New Roman;Times;Serif" w:hAnsi="Times New Roman;Times;Serif"/>
          <w:b w:val="false"/>
          <w:i/>
          <w:caps w:val="false"/>
          <w:smallCaps w:val="false"/>
          <w:sz w:val="20"/>
          <w:u w:val="single"/>
        </w:rPr>
        <w:t>Tariff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recognized a receivable of $</w:t>
      </w:r>
      <w:bookmarkStart w:id="327" w:name="xdx_90F_ecustom--TariffReceivable_iI_pn3"/>
      <w:bookmarkEnd w:id="327"/>
      <w:r>
        <w:rPr>
          <w:rFonts w:ascii="Times New Roman;Times;Serif" w:hAnsi="Times New Roman;Times;Serif"/>
          <w:b w:val="false"/>
          <w:i w:val="false"/>
          <w:caps w:val="false"/>
          <w:smallCaps w:val="false"/>
          <w:sz w:val="20"/>
        </w:rPr>
        <w:t>332 for expected refunds of tariffs previously paid on imported inventory, which is included in other current assets in the accompanying Condensed Consolidated Balance Sheets. The tariffs were originally capitalized as a component of inventory and recognized in cost of goods sold as the related inventory was sold. The Company recognized the expected refund when management determined collection was probable and recorded the amounts as a reduction of cost of goods sold for the three and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bookmarkStart w:id="328" w:name="xdx_868_zjEsubQeFNM4"/>
      <w:bookmarkStart w:id="329" w:name="xdx_844_eus-gaap--IntangibleAssetsFinite"/>
      <w:bookmarkEnd w:id="328"/>
      <w:bookmarkEnd w:id="329"/>
      <w:r>
        <w:rPr>
          <w:rFonts w:ascii="Times New Roman;Times;Serif" w:hAnsi="Times New Roman;Times;Serif"/>
          <w:b/>
          <w:i/>
          <w:caps w:val="false"/>
          <w:smallCaps w:val="false"/>
          <w:sz w:val="20"/>
          <w:u w:val="single"/>
        </w:rPr>
        <w:t>Finite-Lived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with finite useful lives are amortized over their estimated useful lives. The Company amortizes finite-lived intangible assets using a method that reflects the pattern in which the economic benefits of the asset are consumed. If that pattern cannot be reliably determined, the Company uses the straight-line method, consistent with ASC 350-30. Amortization expense was $</w:t>
      </w:r>
      <w:bookmarkStart w:id="330" w:name="xdx_905_eus-gaap--AmortizationOfIntangib"/>
      <w:bookmarkStart w:id="331" w:name="xdx_90E_eus-gaap--AmortizationOfIntangib"/>
      <w:bookmarkEnd w:id="330"/>
      <w:bookmarkEnd w:id="331"/>
      <w:r>
        <w:rPr>
          <w:rFonts w:ascii="Times New Roman;Times;Serif" w:hAnsi="Times New Roman;Times;Serif"/>
          <w:b w:val="false"/>
          <w:i w:val="false"/>
          <w:caps w:val="false"/>
          <w:smallCaps w:val="false"/>
          <w:sz w:val="20"/>
        </w:rPr>
        <w:t>7 for the three and six months ended June 30, 2026, respectively. There was no amortization expense for the three and six months ended June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bookmarkStart w:id="332" w:name="xdx_86C_zzaFKg90uWf4"/>
      <w:bookmarkStart w:id="333" w:name="xdx_847_eus-gaap--ImpairmentOrDisposalOf"/>
      <w:bookmarkEnd w:id="332"/>
      <w:bookmarkEnd w:id="333"/>
      <w:r>
        <w:rPr>
          <w:rFonts w:ascii="Times New Roman;Times;Serif" w:hAnsi="Times New Roman;Times;Serif"/>
          <w:b/>
          <w:i/>
          <w:caps w:val="false"/>
          <w:smallCaps w:val="false"/>
          <w:sz w:val="20"/>
          <w:u w:val="single"/>
        </w:rPr>
        <w:t>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Finite-lived intangible assets are reviewed for impairment in accordance with ASC 360-10 whenever events or changes in circumstances indicate that the carrying amount of the asset group may not be recoverable. Recoverability is assessed by comparing the carrying amount of the asset group to the undiscounted future cash flows expected to result from the use and eventual disposition of the asset group. If the carrying amount is not recoverable, the Company recognizes an impairment loss for the amount by which the carrying amount exceeds fair value. No impairment losses were recognized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34" w:name="xdx_862_zNBHJir6ejVf"/>
      <w:bookmarkStart w:id="335" w:name="xdx_848_eus-gaap--UseOfEstimates_zGdIA4G"/>
      <w:bookmarkEnd w:id="334"/>
      <w:bookmarkEnd w:id="335"/>
      <w:r>
        <w:rPr>
          <w:rFonts w:ascii="Times New Roman;Times;Serif" w:hAnsi="Times New Roman;Times;Serif"/>
          <w:b w:val="false"/>
          <w:i/>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 utilizes the use of estimates in its calculations for the reserve for obsolete or slow moving inventory, going concern, right of use asset, warrant liability, equity based compensation, income taxes, leases, right-of-use asset impairment, and license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36" w:name="xdx_86E_zafZFXlKoko8"/>
      <w:bookmarkStart w:id="337" w:name="xdx_848_eus-gaap--RevenueFromContractWit"/>
      <w:bookmarkEnd w:id="336"/>
      <w:bookmarkEnd w:id="337"/>
      <w:r>
        <w:rPr>
          <w:rFonts w:ascii="Times New Roman;Times;Serif" w:hAnsi="Times New Roman;Times;Serif"/>
          <w:b w:val="false"/>
          <w:i/>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right-to-access license agreements upon the transfer of control to the customer. Upfront fees are deferred and recognized over the estimated period of benefit. Royalties are recognized as revenue when the customer’s underlying sales occur. The transaction price and timing of revenue recognition are adjusted as necessary to reflect changes in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receive payments at the onset of the contract before delivery of goods for customers in the retail channel. Payment terms for distributors and OEMs are typically due within </w:t>
      </w:r>
      <w:bookmarkStart w:id="338" w:name="xdx_90F_ecustom--PaymentTermForDistribut"/>
      <w:bookmarkEnd w:id="338"/>
      <w:r>
        <w:rPr>
          <w:rFonts w:ascii="Times New Roman;Times;Serif" w:hAnsi="Times New Roman;Times;Serif"/>
          <w:b w:val="false"/>
          <w:i w:val="false"/>
          <w:caps w:val="false"/>
          <w:smallCaps w:val="false"/>
          <w:sz w:val="20"/>
        </w:rPr>
        <w:t>30-</w:t>
      </w:r>
      <w:bookmarkStart w:id="339" w:name="xdx_902_ecustom--PaymentTermForDistribut"/>
      <w:bookmarkEnd w:id="339"/>
      <w:r>
        <w:rPr>
          <w:rFonts w:ascii="Times New Roman;Times;Serif" w:hAnsi="Times New Roman;Times;Serif"/>
          <w:b w:val="false"/>
          <w:i w:val="false"/>
          <w:caps w:val="false"/>
          <w:smallCaps w:val="false"/>
          <w:sz w:val="20"/>
        </w:rPr>
        <w:t>90 days after shipment. In such instances, the Company records a customer deposit liability. The Company recognizes these contract liabilities as sales after the revenue criteria are met. As of June 30, 2026 and December 31, 2025, the contract liability related to the Company’s customer deposits was approximately $</w:t>
      </w:r>
      <w:bookmarkStart w:id="340" w:name="xdx_90A_eus-gaap--ContractWithCustomerLi"/>
      <w:bookmarkEnd w:id="340"/>
      <w:r>
        <w:rPr>
          <w:rFonts w:ascii="Times New Roman;Times;Serif" w:hAnsi="Times New Roman;Times;Serif"/>
          <w:b w:val="false"/>
          <w:i w:val="false"/>
          <w:caps w:val="false"/>
          <w:smallCaps w:val="false"/>
          <w:sz w:val="20"/>
        </w:rPr>
        <w:t>114 and $</w:t>
      </w:r>
      <w:bookmarkStart w:id="341" w:name="xdx_902_eus-gaap--ContractWithCustomerLi"/>
      <w:bookmarkEnd w:id="341"/>
      <w:r>
        <w:rPr>
          <w:rFonts w:ascii="Times New Roman;Times;Serif" w:hAnsi="Times New Roman;Times;Serif"/>
          <w:b w:val="false"/>
          <w:i w:val="false"/>
          <w:caps w:val="false"/>
          <w:smallCaps w:val="false"/>
          <w:sz w:val="20"/>
        </w:rPr>
        <w:t>121,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w:t>
      </w:r>
      <w:bookmarkStart w:id="342" w:name="xdx_902_eus-gaap--ContractWithCustomerLi"/>
      <w:bookmarkEnd w:id="342"/>
      <w:r>
        <w:rPr>
          <w:rFonts w:ascii="Times New Roman;Times;Serif" w:hAnsi="Times New Roman;Times;Serif"/>
          <w:b w:val="false"/>
          <w:i w:val="false"/>
          <w:caps w:val="false"/>
          <w:smallCaps w:val="false"/>
          <w:sz w:val="20"/>
        </w:rPr>
        <w:t>121 of the contract liability as of December 31, 2025 during the six months ended June 30, 2026. During the six months ended June 30, 2025, the Company recognized $</w:t>
      </w:r>
      <w:bookmarkStart w:id="343" w:name="xdx_906_eus-gaap--ContractWithCustomerLi"/>
      <w:bookmarkEnd w:id="343"/>
      <w:r>
        <w:rPr>
          <w:rFonts w:ascii="Times New Roman;Times;Serif" w:hAnsi="Times New Roman;Times;Serif"/>
          <w:b w:val="false"/>
          <w:i w:val="false"/>
          <w:caps w:val="false"/>
          <w:smallCaps w:val="false"/>
          <w:sz w:val="20"/>
        </w:rPr>
        <w:t>314 of the contract liability that was recorded as a January 1, 2025 beginning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Dragonfly Energy Corp. (“Legacy Dragonfly”), a wholly-owned subsidiary of the Company, and Battle Born Battery Products, LLC (“Battle Born LLC”), a wholly-owned subsidiary of Legacy Dragonfly, entered into a License Agreement (the “License Agreement”) with Stryten Energy LLC (“Stryten”). The $</w:t>
      </w:r>
      <w:bookmarkStart w:id="344" w:name="xdx_905_ecustom--LicensingFee_pn3n3_c202"/>
      <w:bookmarkEnd w:id="344"/>
      <w:r>
        <w:rPr>
          <w:rFonts w:ascii="Times New Roman;Times;Serif" w:hAnsi="Times New Roman;Times;Serif"/>
          <w:b w:val="false"/>
          <w:i w:val="false"/>
          <w:caps w:val="false"/>
          <w:smallCaps w:val="false"/>
          <w:sz w:val="20"/>
        </w:rPr>
        <w:t xml:space="preserve">5,000 initial licensing fee is being recognized as revenue on a straight-line basis over </w:t>
      </w:r>
      <w:bookmarkStart w:id="345" w:name="xdx_903_eus-gaap--FiniteLivedIntangibleA"/>
      <w:bookmarkEnd w:id="345"/>
      <w:r>
        <w:rPr>
          <w:rFonts w:ascii="Times New Roman;Times;Serif" w:hAnsi="Times New Roman;Times;Serif"/>
          <w:b w:val="false"/>
          <w:i w:val="false"/>
          <w:caps w:val="false"/>
          <w:smallCaps w:val="false"/>
          <w:sz w:val="20"/>
        </w:rPr>
        <w:t>five years. The Company has recorded $</w:t>
      </w:r>
      <w:bookmarkStart w:id="346" w:name="xdx_900_eus-gaap--RevenueFromContractWit"/>
      <w:bookmarkEnd w:id="346"/>
      <w:r>
        <w:rPr>
          <w:rFonts w:ascii="Times New Roman;Times;Serif" w:hAnsi="Times New Roman;Times;Serif"/>
          <w:b w:val="false"/>
          <w:i w:val="false"/>
          <w:caps w:val="false"/>
          <w:smallCaps w:val="false"/>
          <w:sz w:val="20"/>
        </w:rPr>
        <w:t>250 and $</w:t>
      </w:r>
      <w:bookmarkStart w:id="347" w:name="xdx_902_eus-gaap--RevenueFromContractWit"/>
      <w:bookmarkEnd w:id="347"/>
      <w:r>
        <w:rPr>
          <w:rFonts w:ascii="Times New Roman;Times;Serif" w:hAnsi="Times New Roman;Times;Serif"/>
          <w:b w:val="false"/>
          <w:i w:val="false"/>
          <w:caps w:val="false"/>
          <w:smallCaps w:val="false"/>
          <w:sz w:val="20"/>
        </w:rPr>
        <w:t>500 in revenue related to the license agreement during the three and six months ended June 30, 2026, respectively. As of June 30, 2026 and December 31, 2025, the contract liability related to the Company’s deferred revenue was approximately $</w:t>
      </w:r>
      <w:bookmarkStart w:id="348" w:name="xdx_909_eus-gaap--DeferredRevenue_iI_pn3"/>
      <w:bookmarkEnd w:id="348"/>
      <w:r>
        <w:rPr>
          <w:rFonts w:ascii="Times New Roman;Times;Serif" w:hAnsi="Times New Roman;Times;Serif"/>
          <w:b w:val="false"/>
          <w:i w:val="false"/>
          <w:caps w:val="false"/>
          <w:smallCaps w:val="false"/>
          <w:sz w:val="20"/>
        </w:rPr>
        <w:t>3,083 and $</w:t>
      </w:r>
      <w:bookmarkStart w:id="349" w:name="xdx_906_eus-gaap--DeferredRevenue_iI_pn3"/>
      <w:bookmarkEnd w:id="349"/>
      <w:r>
        <w:rPr>
          <w:rFonts w:ascii="Times New Roman;Times;Serif" w:hAnsi="Times New Roman;Times;Serif"/>
          <w:b w:val="false"/>
          <w:i w:val="false"/>
          <w:caps w:val="false"/>
          <w:smallCaps w:val="false"/>
          <w:sz w:val="20"/>
        </w:rPr>
        <w:t>3,583,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50" w:name="xdx_860_zCusOZOb3Q2c"/>
      <w:bookmarkStart w:id="351" w:name="xdx_84F_ecustom--DisaggregationOfRevenue"/>
      <w:bookmarkEnd w:id="350"/>
      <w:bookmarkEnd w:id="351"/>
      <w:r>
        <w:rPr>
          <w:rFonts w:ascii="Times New Roman;Times;Serif" w:hAnsi="Times New Roman;Times;Serif"/>
          <w:b w:val="false"/>
          <w:i/>
          <w:caps w:val="false"/>
          <w:smallCaps w:val="false"/>
          <w:sz w:val="20"/>
          <w:u w:val="single"/>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2" w:name="xdx_890_eus-gaap--DisaggregationOfRevenu"/>
      <w:bookmarkEnd w:id="352"/>
      <w:r>
        <w:rPr>
          <w:rFonts w:ascii="Times New Roman;Times;Serif" w:hAnsi="Times New Roman;Times;Serif"/>
          <w:b w:val="false"/>
          <w:i w:val="false"/>
          <w:caps w:val="false"/>
          <w:smallCaps w:val="false"/>
          <w:sz w:val="20"/>
        </w:rPr>
        <w:t>The following table presents our disaggregated revenues by distribution channel:</w:t>
      </w:r>
    </w:p>
    <w:p>
      <w:pPr>
        <w:pStyle w:val="TextBody"/>
        <w:bidi w:val="0"/>
        <w:spacing w:before="0" w:after="0"/>
        <w:ind w:left="0" w:right="0" w:hanging="0"/>
        <w:jc w:val="both"/>
        <w:rPr>
          <w:caps w:val="false"/>
          <w:smallCaps w:val="false"/>
        </w:rPr>
      </w:pPr>
      <w:r>
        <w:rPr>
          <w:caps w:val="false"/>
          <w:smallCaps w:val="false"/>
        </w:rPr>
        <w:t> </w:t>
      </w:r>
      <w:bookmarkStart w:id="353" w:name="xdx_8BE_zbdlQhnkGbnf"/>
      <w:bookmarkEnd w:id="353"/>
      <w:r>
        <w:rPr>
          <w:rFonts w:ascii="Times New Roman;Times;Serif" w:hAnsi="Times New Roman;Times;Serif"/>
          <w:b w:val="false"/>
          <w:i w:val="false"/>
          <w:caps w:val="false"/>
          <w:smallCaps w:val="false"/>
          <w:sz w:val="20"/>
        </w:rPr>
        <w:t>SCHEDULE OF DISAGGREGATED REVENUES BY DISTRIBUTION CHANNEL</w:t>
      </w:r>
    </w:p>
    <w:tbl>
      <w:tblPr>
        <w:tblW w:w="8634" w:type="dxa"/>
        <w:jc w:val="left"/>
        <w:tblInd w:w="0" w:type="dxa"/>
        <w:tblLayout w:type="fixed"/>
        <w:tblCellMar>
          <w:top w:w="0" w:type="dxa"/>
          <w:left w:w="0" w:type="dxa"/>
          <w:bottom w:w="0" w:type="dxa"/>
          <w:right w:w="0" w:type="dxa"/>
        </w:tblCellMar>
      </w:tblPr>
      <w:tblGrid>
        <w:gridCol w:w="3095"/>
        <w:gridCol w:w="60"/>
        <w:gridCol w:w="219"/>
        <w:gridCol w:w="1068"/>
        <w:gridCol w:w="94"/>
        <w:gridCol w:w="94"/>
        <w:gridCol w:w="219"/>
        <w:gridCol w:w="1068"/>
        <w:gridCol w:w="60"/>
        <w:gridCol w:w="60"/>
        <w:gridCol w:w="200"/>
        <w:gridCol w:w="975"/>
        <w:gridCol w:w="86"/>
        <w:gridCol w:w="86"/>
        <w:gridCol w:w="200"/>
        <w:gridCol w:w="975"/>
        <w:gridCol w:w="75"/>
      </w:tblGrid>
      <w:tr>
        <w:trPr/>
        <w:tc>
          <w:tcPr>
            <w:tcW w:w="3095" w:type="dxa"/>
            <w:tcBorders/>
            <w:vAlign w:val="center"/>
          </w:tcPr>
          <w:p>
            <w:pPr>
              <w:pStyle w:val="TableContents"/>
              <w:bidi w:val="0"/>
              <w:spacing w:before="0" w:after="283"/>
              <w:jc w:val="left"/>
              <w:rPr/>
            </w:pPr>
            <w:r>
              <w:rPr/>
              <w:t>Sales</w:t>
            </w:r>
          </w:p>
        </w:tc>
        <w:tc>
          <w:tcPr>
            <w:tcW w:w="60" w:type="dxa"/>
            <w:tcBorders/>
            <w:vAlign w:val="center"/>
          </w:tcPr>
          <w:p>
            <w:pPr>
              <w:pStyle w:val="TableContents"/>
              <w:bidi w:val="0"/>
              <w:spacing w:before="0" w:after="283"/>
              <w:jc w:val="center"/>
              <w:rPr/>
            </w:pPr>
            <w:r>
              <w:rPr/>
              <w:t> </w:t>
            </w:r>
            <w:bookmarkStart w:id="354" w:name="xdx_49E_20260401__20260630_z0NKy1mFQdvk"/>
            <w:bookmarkEnd w:id="354"/>
          </w:p>
        </w:tc>
        <w:tc>
          <w:tcPr>
            <w:tcW w:w="1287"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4" w:type="dxa"/>
            <w:tcBorders/>
            <w:vAlign w:val="center"/>
          </w:tcPr>
          <w:p>
            <w:pPr>
              <w:pStyle w:val="TableContents"/>
              <w:bidi w:val="0"/>
              <w:spacing w:before="0" w:after="283"/>
              <w:jc w:val="center"/>
              <w:rPr/>
            </w:pPr>
            <w:r>
              <w:rPr/>
              <w:t> </w:t>
            </w:r>
          </w:p>
        </w:tc>
        <w:tc>
          <w:tcPr>
            <w:tcW w:w="94" w:type="dxa"/>
            <w:tcBorders/>
            <w:vAlign w:val="center"/>
          </w:tcPr>
          <w:p>
            <w:pPr>
              <w:pStyle w:val="TableContents"/>
              <w:bidi w:val="0"/>
              <w:spacing w:before="0" w:after="283"/>
              <w:jc w:val="center"/>
              <w:rPr/>
            </w:pPr>
            <w:r>
              <w:rPr/>
              <w:t> </w:t>
            </w:r>
            <w:bookmarkStart w:id="355" w:name="xdx_492_20250401__20250630_zyvjFTwc3fjc"/>
            <w:bookmarkEnd w:id="355"/>
          </w:p>
        </w:tc>
        <w:tc>
          <w:tcPr>
            <w:tcW w:w="1287"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56" w:name="xdx_49A_20260101__20260630_ztn5Dmjs1uee"/>
            <w:bookmarkEnd w:id="356"/>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86"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center"/>
              <w:rPr/>
            </w:pPr>
            <w:r>
              <w:rPr/>
              <w:t> </w:t>
            </w:r>
            <w:bookmarkStart w:id="357" w:name="xdx_49B_20250101__20250630_zJkf5POyEuEh"/>
            <w:bookmarkEnd w:id="357"/>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2" w:type="dxa"/>
            <w:gridSpan w:val="6"/>
            <w:tcBorders/>
            <w:vAlign w:val="center"/>
          </w:tcPr>
          <w:p>
            <w:pPr>
              <w:pStyle w:val="TableContents"/>
              <w:bidi w:val="0"/>
              <w:spacing w:before="0" w:after="283"/>
              <w:jc w:val="center"/>
              <w:rPr/>
            </w:pPr>
            <w:r>
              <w:rPr/>
              <w:t>For the Three Months Ended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22" w:type="dxa"/>
            <w:gridSpan w:val="6"/>
            <w:tcBorders/>
            <w:vAlign w:val="center"/>
          </w:tcPr>
          <w:p>
            <w:pPr>
              <w:pStyle w:val="TableContents"/>
              <w:bidi w:val="0"/>
              <w:spacing w:before="0" w:after="283"/>
              <w:jc w:val="center"/>
              <w:rPr/>
            </w:pPr>
            <w:r>
              <w:rPr/>
              <w:t>For the Six Months Ended</w:t>
            </w:r>
          </w:p>
        </w:tc>
        <w:tc>
          <w:tcPr>
            <w:tcW w:w="75" w:type="dxa"/>
            <w:tcBorders/>
            <w:vAlign w:val="center"/>
          </w:tcPr>
          <w:p>
            <w:pPr>
              <w:pStyle w:val="TableContents"/>
              <w:bidi w:val="0"/>
              <w:spacing w:before="0" w:after="283"/>
              <w:jc w:val="center"/>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762" w:type="dxa"/>
            <w:gridSpan w:val="6"/>
            <w:tcBorders>
              <w:bottom w:val="single" w:sz="8" w:space="0" w:color="000000"/>
            </w:tcBorders>
            <w:tcMar>
              <w:bottom w:w="28" w:type="dxa"/>
            </w:tcMar>
            <w:vAlign w:val="center"/>
          </w:tcPr>
          <w:p>
            <w:pPr>
              <w:pStyle w:val="TableContents"/>
              <w:bidi w:val="0"/>
              <w:spacing w:before="0" w:after="283"/>
              <w:jc w:val="center"/>
              <w:rPr/>
            </w:pPr>
            <w:r>
              <w:rP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22" w:type="dxa"/>
            <w:gridSpan w:val="6"/>
            <w:tcBorders>
              <w:bottom w:val="single" w:sz="8" w:space="0" w:color="000000"/>
            </w:tcBorders>
            <w:tcMar>
              <w:bottom w:w="28" w:type="dxa"/>
            </w:tcMar>
            <w:vAlign w:val="center"/>
          </w:tcPr>
          <w:p>
            <w:pPr>
              <w:pStyle w:val="TableContents"/>
              <w:bidi w:val="0"/>
              <w:spacing w:before="0" w:after="283"/>
              <w:jc w:val="center"/>
              <w:rPr/>
            </w:pPr>
            <w:r>
              <w:rPr/>
              <w:t>June 30,</w:t>
            </w:r>
          </w:p>
        </w:tc>
        <w:tc>
          <w:tcPr>
            <w:tcW w:w="75" w:type="dxa"/>
            <w:tcBorders/>
            <w:vAlign w:val="center"/>
          </w:tcPr>
          <w:p>
            <w:pPr>
              <w:pStyle w:val="TableContents"/>
              <w:bidi w:val="0"/>
              <w:spacing w:before="0" w:after="283"/>
              <w:jc w:val="center"/>
              <w:rPr/>
            </w:pPr>
            <w:r>
              <w:rPr/>
              <w:t> </w:t>
            </w:r>
          </w:p>
        </w:tc>
      </w:tr>
      <w:tr>
        <w:trPr/>
        <w:tc>
          <w:tcPr>
            <w:tcW w:w="3095" w:type="dxa"/>
            <w:tcBorders/>
            <w:vAlign w:val="center"/>
          </w:tcPr>
          <w:p>
            <w:pPr>
              <w:pStyle w:val="TableContents"/>
              <w:bidi w:val="0"/>
              <w:spacing w:before="0" w:after="283"/>
              <w:jc w:val="left"/>
              <w:rPr/>
            </w:pPr>
            <w:r>
              <w:rPr/>
              <w:t>Sales</w:t>
            </w:r>
          </w:p>
        </w:tc>
        <w:tc>
          <w:tcPr>
            <w:tcW w:w="60" w:type="dxa"/>
            <w:tcBorders/>
            <w:vAlign w:val="center"/>
          </w:tcPr>
          <w:p>
            <w:pPr>
              <w:pStyle w:val="TableContents"/>
              <w:bidi w:val="0"/>
              <w:spacing w:before="0" w:after="283"/>
              <w:jc w:val="center"/>
              <w:rPr/>
            </w:pPr>
            <w:r>
              <w:rPr/>
              <w:t> </w:t>
            </w:r>
          </w:p>
        </w:tc>
        <w:tc>
          <w:tcPr>
            <w:tcW w:w="1287"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4" w:type="dxa"/>
            <w:tcBorders/>
            <w:vAlign w:val="center"/>
          </w:tcPr>
          <w:p>
            <w:pPr>
              <w:pStyle w:val="TableContents"/>
              <w:bidi w:val="0"/>
              <w:spacing w:before="0" w:after="283"/>
              <w:jc w:val="center"/>
              <w:rPr/>
            </w:pPr>
            <w:r>
              <w:rPr/>
              <w:t> </w:t>
            </w:r>
          </w:p>
        </w:tc>
        <w:tc>
          <w:tcPr>
            <w:tcW w:w="94" w:type="dxa"/>
            <w:tcBorders/>
            <w:vAlign w:val="center"/>
          </w:tcPr>
          <w:p>
            <w:pPr>
              <w:pStyle w:val="TableContents"/>
              <w:bidi w:val="0"/>
              <w:spacing w:before="0" w:after="283"/>
              <w:jc w:val="center"/>
              <w:rPr/>
            </w:pPr>
            <w:r>
              <w:rPr/>
              <w:t> </w:t>
            </w:r>
          </w:p>
        </w:tc>
        <w:tc>
          <w:tcPr>
            <w:tcW w:w="1287"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86"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center"/>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bookmarkStart w:id="358" w:name="xdx_40E_eus-gaap--RevenueFromContractWit"/>
            <w:bookmarkEnd w:id="358"/>
          </w:p>
        </w:tc>
      </w:tr>
      <w:tr>
        <w:trPr/>
        <w:tc>
          <w:tcPr>
            <w:tcW w:w="3095" w:type="dxa"/>
            <w:tcBorders/>
            <w:shd w:fill="CCEEFF" w:val="clear"/>
            <w:vAlign w:val="center"/>
          </w:tcPr>
          <w:p>
            <w:pPr>
              <w:pStyle w:val="TableContents"/>
              <w:bidi w:val="0"/>
              <w:spacing w:before="0" w:after="283"/>
              <w:jc w:val="left"/>
              <w:rPr/>
            </w:pPr>
            <w:r>
              <w:rPr/>
              <w:t>Direct to customer</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4,477</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5,948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8,179</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10,963</w:t>
            </w:r>
          </w:p>
        </w:tc>
        <w:tc>
          <w:tcPr>
            <w:tcW w:w="75" w:type="dxa"/>
            <w:tcBorders/>
            <w:shd w:fill="CCEEFF" w:val="clear"/>
            <w:vAlign w:val="center"/>
          </w:tcPr>
          <w:p>
            <w:pPr>
              <w:pStyle w:val="TableContents"/>
              <w:bidi w:val="0"/>
              <w:spacing w:before="0" w:after="283"/>
              <w:jc w:val="left"/>
              <w:rPr/>
            </w:pPr>
            <w:r>
              <w:rPr/>
              <w:t> </w:t>
            </w:r>
            <w:bookmarkStart w:id="359" w:name="xdx_40E_eus-gaap--RevenueFromContractWit"/>
            <w:bookmarkEnd w:id="359"/>
          </w:p>
        </w:tc>
      </w:tr>
      <w:tr>
        <w:trPr/>
        <w:tc>
          <w:tcPr>
            <w:tcW w:w="3095" w:type="dxa"/>
            <w:tcBorders/>
            <w:shd w:fill="FFFFFF" w:val="clear"/>
            <w:vAlign w:val="center"/>
          </w:tcPr>
          <w:p>
            <w:pPr>
              <w:pStyle w:val="TableContents"/>
              <w:bidi w:val="0"/>
              <w:spacing w:before="0" w:after="283"/>
              <w:jc w:val="left"/>
              <w:rPr/>
            </w:pPr>
            <w:r>
              <w:rPr/>
              <w:t>Original equipment manufacture</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8,432</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10,050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14,184</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18,141</w:t>
            </w:r>
          </w:p>
        </w:tc>
        <w:tc>
          <w:tcPr>
            <w:tcW w:w="75" w:type="dxa"/>
            <w:tcBorders/>
            <w:shd w:fill="FFFFFF" w:val="clear"/>
            <w:vAlign w:val="center"/>
          </w:tcPr>
          <w:p>
            <w:pPr>
              <w:pStyle w:val="TableContents"/>
              <w:bidi w:val="0"/>
              <w:spacing w:before="0" w:after="283"/>
              <w:jc w:val="left"/>
              <w:rPr/>
            </w:pPr>
            <w:r>
              <w:rPr/>
              <w:t> </w:t>
            </w:r>
            <w:bookmarkStart w:id="360" w:name="xdx_408_eus-gaap--RevenueFromContractWit"/>
            <w:bookmarkEnd w:id="360"/>
          </w:p>
        </w:tc>
      </w:tr>
      <w:tr>
        <w:trPr/>
        <w:tc>
          <w:tcPr>
            <w:tcW w:w="3095" w:type="dxa"/>
            <w:tcBorders/>
            <w:shd w:fill="CCEEFF" w:val="clear"/>
            <w:vAlign w:val="center"/>
          </w:tcPr>
          <w:p>
            <w:pPr>
              <w:pStyle w:val="TableContents"/>
              <w:bidi w:val="0"/>
              <w:spacing w:before="0" w:after="283"/>
              <w:jc w:val="left"/>
              <w:rPr/>
            </w:pPr>
            <w:r>
              <w:rPr/>
              <w:t>License fee revenue</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250</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500</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500</w:t>
            </w:r>
          </w:p>
        </w:tc>
        <w:tc>
          <w:tcPr>
            <w:tcW w:w="75" w:type="dxa"/>
            <w:tcBorders/>
            <w:shd w:fill="CCEEFF" w:val="clear"/>
            <w:vAlign w:val="center"/>
          </w:tcPr>
          <w:p>
            <w:pPr>
              <w:pStyle w:val="TableContents"/>
              <w:bidi w:val="0"/>
              <w:spacing w:before="0" w:after="283"/>
              <w:jc w:val="left"/>
              <w:rPr/>
            </w:pPr>
            <w:r>
              <w:rPr/>
              <w:t> </w:t>
            </w:r>
            <w:bookmarkStart w:id="361" w:name="xdx_402_eus-gaap--RevenueFromContractWit"/>
            <w:bookmarkEnd w:id="361"/>
          </w:p>
        </w:tc>
      </w:tr>
      <w:tr>
        <w:trPr/>
        <w:tc>
          <w:tcPr>
            <w:tcW w:w="309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pPr>
            <w:r>
              <w:rPr/>
              <w:t>13,159</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pPr>
            <w:r>
              <w:rPr/>
              <w:t>16,248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75" w:type="dxa"/>
            <w:tcBorders>
              <w:bottom w:val="double" w:sz="6" w:space="0" w:color="000000"/>
            </w:tcBorders>
            <w:shd w:fill="FFFFFF" w:val="clear"/>
            <w:tcMar>
              <w:bottom w:w="28" w:type="dxa"/>
            </w:tcMar>
            <w:vAlign w:val="center"/>
          </w:tcPr>
          <w:p>
            <w:pPr>
              <w:pStyle w:val="TableContents"/>
              <w:bidi w:val="0"/>
              <w:spacing w:before="0" w:after="283"/>
              <w:jc w:val="right"/>
              <w:rPr/>
            </w:pPr>
            <w:r>
              <w:rPr/>
              <w:t>22,863</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75" w:type="dxa"/>
            <w:tcBorders>
              <w:bottom w:val="double" w:sz="6" w:space="0" w:color="000000"/>
            </w:tcBorders>
            <w:shd w:fill="FFFFFF" w:val="clear"/>
            <w:tcMar>
              <w:bottom w:w="28" w:type="dxa"/>
            </w:tcMar>
            <w:vAlign w:val="center"/>
          </w:tcPr>
          <w:p>
            <w:pPr>
              <w:pStyle w:val="TableContents"/>
              <w:bidi w:val="0"/>
              <w:spacing w:before="0" w:after="283"/>
              <w:jc w:val="right"/>
              <w:rPr/>
            </w:pPr>
            <w:r>
              <w:rPr/>
              <w:t>29,604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2" w:name="xdx_8A6_zfPOFP9ZJ194"/>
      <w:bookmarkEnd w:id="362"/>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63" w:name="xdx_86A_ztBESP1BkL33"/>
      <w:bookmarkStart w:id="364" w:name="xdx_846_eus-gaap--StandardProductWarrant"/>
      <w:bookmarkEnd w:id="363"/>
      <w:bookmarkEnd w:id="364"/>
      <w:r>
        <w:rPr>
          <w:rFonts w:ascii="Times New Roman;Times;Serif" w:hAnsi="Times New Roman;Times;Serif"/>
          <w:b w:val="false"/>
          <w:i/>
          <w:caps w:val="false"/>
          <w:smallCaps w:val="false"/>
          <w:sz w:val="20"/>
          <w:u w:val="single"/>
        </w:rPr>
        <w:t>Product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offers assurance type warranties from </w:t>
      </w:r>
      <w:bookmarkStart w:id="365" w:name="xdx_90C_ecustom--ProductWarrantyTermProv"/>
      <w:bookmarkEnd w:id="365"/>
      <w:r>
        <w:rPr>
          <w:rFonts w:ascii="Times New Roman;Times;Serif" w:hAnsi="Times New Roman;Times;Serif"/>
          <w:b w:val="false"/>
          <w:i w:val="false"/>
          <w:caps w:val="false"/>
          <w:smallCaps w:val="false"/>
          <w:sz w:val="20"/>
        </w:rPr>
        <w:t xml:space="preserve">5 to </w:t>
      </w:r>
      <w:bookmarkStart w:id="366" w:name="xdx_905_ecustom--ProductWarrantyTermProv"/>
      <w:bookmarkEnd w:id="366"/>
      <w:r>
        <w:rPr>
          <w:rFonts w:ascii="Times New Roman;Times;Serif" w:hAnsi="Times New Roman;Times;Serif"/>
          <w:b w:val="false"/>
          <w:i w:val="false"/>
          <w:caps w:val="false"/>
          <w:smallCaps w:val="false"/>
          <w:sz w:val="20"/>
        </w:rPr>
        <w:t>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its warranties and record a liability in the amount of such estimate at the time a product is sold. Factors that affect our warranty liability include the number of units sold, historical and anticipated rates of warranty claims, and cost per claim. The Company periodically assesses the adequacy of our recorded warranty liability and adjusts the accrual as claims data and historical experience warrants. The Company has assessed the costs of fulfilling its existing assurance type warranties and has determined that the estimated outstanding warranty obligation at June 30, 2026 and December 31, 2025 to be $</w:t>
      </w:r>
      <w:bookmarkStart w:id="367" w:name="xdx_905_eus-gaap--ProductWarrantyAccrual"/>
      <w:bookmarkEnd w:id="367"/>
      <w:r>
        <w:rPr>
          <w:rFonts w:ascii="Times New Roman;Times;Serif" w:hAnsi="Times New Roman;Times;Serif"/>
          <w:b w:val="false"/>
          <w:i w:val="false"/>
          <w:caps w:val="false"/>
          <w:smallCaps w:val="false"/>
          <w:sz w:val="20"/>
        </w:rPr>
        <w:t>904 and $</w:t>
      </w:r>
      <w:bookmarkStart w:id="368" w:name="xdx_900_eus-gaap--ProductWarrantyAccrual"/>
      <w:bookmarkEnd w:id="368"/>
      <w:r>
        <w:rPr>
          <w:rFonts w:ascii="Times New Roman;Times;Serif" w:hAnsi="Times New Roman;Times;Serif"/>
          <w:b w:val="false"/>
          <w:i w:val="false"/>
          <w:caps w:val="false"/>
          <w:smallCaps w:val="false"/>
          <w:sz w:val="20"/>
        </w:rPr>
        <w:t>867, respectively. The Company incurred warranty expense of $</w:t>
      </w:r>
      <w:bookmarkStart w:id="369" w:name="xdx_900_eus-gaap--ProductWarrantyAccrual"/>
      <w:bookmarkEnd w:id="369"/>
      <w:r>
        <w:rPr>
          <w:rFonts w:ascii="Times New Roman;Times;Serif" w:hAnsi="Times New Roman;Times;Serif"/>
          <w:b w:val="false"/>
          <w:i w:val="false"/>
          <w:caps w:val="false"/>
          <w:smallCaps w:val="false"/>
          <w:sz w:val="20"/>
        </w:rPr>
        <w:t>100 and $</w:t>
      </w:r>
      <w:bookmarkStart w:id="370" w:name="xdx_90D_eus-gaap--ProductWarrantyAccrual"/>
      <w:bookmarkEnd w:id="370"/>
      <w:r>
        <w:rPr>
          <w:rFonts w:ascii="Times New Roman;Times;Serif" w:hAnsi="Times New Roman;Times;Serif"/>
          <w:b w:val="false"/>
          <w:i w:val="false"/>
          <w:caps w:val="false"/>
          <w:smallCaps w:val="false"/>
          <w:sz w:val="20"/>
        </w:rPr>
        <w:t>198 for the three and six months ended June 30, 2026, respectively, and incurred warranty expense of $</w:t>
      </w:r>
      <w:bookmarkStart w:id="371" w:name="xdx_905_eus-gaap--ProductWarrantyAccrual"/>
      <w:bookmarkEnd w:id="371"/>
      <w:r>
        <w:rPr>
          <w:rFonts w:ascii="Times New Roman;Times;Serif" w:hAnsi="Times New Roman;Times;Serif"/>
          <w:b w:val="false"/>
          <w:i w:val="false"/>
          <w:caps w:val="false"/>
          <w:smallCaps w:val="false"/>
          <w:sz w:val="20"/>
        </w:rPr>
        <w:t>148 and $</w:t>
      </w:r>
      <w:bookmarkStart w:id="372" w:name="xdx_90F_eus-gaap--ProductWarrantyAccrual"/>
      <w:bookmarkEnd w:id="372"/>
      <w:r>
        <w:rPr>
          <w:rFonts w:ascii="Times New Roman;Times;Serif" w:hAnsi="Times New Roman;Times;Serif"/>
          <w:b w:val="false"/>
          <w:i w:val="false"/>
          <w:caps w:val="false"/>
          <w:smallCaps w:val="false"/>
          <w:sz w:val="20"/>
        </w:rPr>
        <w:t>271 for the three and six months ended June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3" w:name="xdx_897_eus-gaap--ScheduleOfProductWarra"/>
      <w:bookmarkEnd w:id="373"/>
      <w:r>
        <w:rPr>
          <w:rFonts w:ascii="Times New Roman;Times;Serif" w:hAnsi="Times New Roman;Times;Serif"/>
          <w:b w:val="false"/>
          <w:i w:val="false"/>
          <w:caps w:val="false"/>
          <w:smallCaps w:val="false"/>
          <w:sz w:val="20"/>
        </w:rPr>
        <w:t>The following table reflects the activity in the Company’s warranty obligation for the six months ended June 30, 2026:</w:t>
      </w:r>
    </w:p>
    <w:p>
      <w:pPr>
        <w:pStyle w:val="TextBody"/>
        <w:bidi w:val="0"/>
        <w:spacing w:before="0" w:after="0"/>
        <w:ind w:left="0" w:right="0" w:hanging="0"/>
        <w:jc w:val="both"/>
        <w:rPr>
          <w:caps w:val="false"/>
          <w:smallCaps w:val="false"/>
        </w:rPr>
      </w:pPr>
      <w:r>
        <w:rPr>
          <w:caps w:val="false"/>
          <w:smallCaps w:val="false"/>
        </w:rPr>
        <w:t> </w:t>
      </w:r>
      <w:bookmarkStart w:id="374" w:name="xdx_8B2_zWZMOcEIQdP4"/>
      <w:bookmarkEnd w:id="374"/>
      <w:r>
        <w:rPr>
          <w:rFonts w:ascii="Times New Roman;Times;Serif" w:hAnsi="Times New Roman;Times;Serif"/>
          <w:b w:val="false"/>
          <w:i w:val="false"/>
          <w:caps w:val="false"/>
          <w:smallCaps w:val="false"/>
          <w:sz w:val="20"/>
        </w:rPr>
        <w:t>SCHEDULE OF WARRANTY OBLIGATION</w:t>
      </w:r>
    </w:p>
    <w:tbl>
      <w:tblPr>
        <w:tblW w:w="3914" w:type="dxa"/>
        <w:jc w:val="left"/>
        <w:tblInd w:w="0" w:type="dxa"/>
        <w:tblLayout w:type="fixed"/>
        <w:tblCellMar>
          <w:top w:w="0" w:type="dxa"/>
          <w:left w:w="0" w:type="dxa"/>
          <w:bottom w:w="0" w:type="dxa"/>
          <w:right w:w="0" w:type="dxa"/>
        </w:tblCellMar>
      </w:tblPr>
      <w:tblGrid>
        <w:gridCol w:w="2930"/>
        <w:gridCol w:w="60"/>
        <w:gridCol w:w="191"/>
        <w:gridCol w:w="623"/>
        <w:gridCol w:w="110"/>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5" w:name="xdx_49C_20260101__20260630_zI2eZao0SR5i"/>
            <w:bookmarkEnd w:id="375"/>
          </w:p>
        </w:tc>
        <w:tc>
          <w:tcPr>
            <w:tcW w:w="814" w:type="dxa"/>
            <w:gridSpan w:val="2"/>
            <w:tcBorders/>
            <w:vAlign w:val="center"/>
          </w:tcPr>
          <w:p>
            <w:pPr>
              <w:pStyle w:val="TableContents"/>
              <w:bidi w:val="0"/>
              <w:spacing w:before="0" w:after="283"/>
              <w:jc w:val="center"/>
              <w:rPr/>
            </w:pPr>
            <w:r>
              <w:rPr/>
              <w:t>June 30,</w:t>
            </w:r>
          </w:p>
        </w:tc>
        <w:tc>
          <w:tcPr>
            <w:tcW w:w="110" w:type="dxa"/>
            <w:tcBorders/>
            <w:vAlign w:val="center"/>
          </w:tcPr>
          <w:p>
            <w:pPr>
              <w:pStyle w:val="TableContents"/>
              <w:bidi w:val="0"/>
              <w:spacing w:before="0" w:after="283"/>
              <w:jc w:val="center"/>
              <w:rPr/>
            </w:pPr>
            <w:r>
              <w:rPr/>
              <w:t> </w:t>
            </w:r>
          </w:p>
        </w:tc>
      </w:tr>
      <w:tr>
        <w:trPr/>
        <w:tc>
          <w:tcPr>
            <w:tcW w:w="29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10" w:type="dxa"/>
            <w:tcBorders/>
            <w:vAlign w:val="center"/>
          </w:tcPr>
          <w:p>
            <w:pPr>
              <w:pStyle w:val="TableContents"/>
              <w:bidi w:val="0"/>
              <w:spacing w:before="0" w:after="283"/>
              <w:jc w:val="left"/>
              <w:rPr/>
            </w:pPr>
            <w:r>
              <w:rPr/>
              <w:t> </w:t>
            </w:r>
            <w:bookmarkStart w:id="376" w:name="xdx_400_eus-gaap--ProductWarrantyAccrual"/>
            <w:bookmarkEnd w:id="376"/>
          </w:p>
        </w:tc>
      </w:tr>
      <w:tr>
        <w:trPr/>
        <w:tc>
          <w:tcPr>
            <w:tcW w:w="2930" w:type="dxa"/>
            <w:tcBorders/>
            <w:shd w:fill="CCEEFF" w:val="clear"/>
            <w:vAlign w:val="center"/>
          </w:tcPr>
          <w:p>
            <w:pPr>
              <w:pStyle w:val="TableContents"/>
              <w:bidi w:val="0"/>
              <w:spacing w:before="0" w:after="283"/>
              <w:jc w:val="left"/>
              <w:rPr/>
            </w:pPr>
            <w:r>
              <w:rPr/>
              <w:t>Beginning warranty obligation</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right"/>
              <w:rPr/>
            </w:pPr>
            <w:r>
              <w:rPr/>
              <w:t>867</w:t>
            </w:r>
          </w:p>
        </w:tc>
        <w:tc>
          <w:tcPr>
            <w:tcW w:w="110" w:type="dxa"/>
            <w:tcBorders/>
            <w:shd w:fill="CCEEFF" w:val="clear"/>
            <w:vAlign w:val="center"/>
          </w:tcPr>
          <w:p>
            <w:pPr>
              <w:pStyle w:val="TableContents"/>
              <w:bidi w:val="0"/>
              <w:spacing w:before="0" w:after="283"/>
              <w:jc w:val="left"/>
              <w:rPr/>
            </w:pPr>
            <w:r>
              <w:rPr/>
              <w:t> </w:t>
            </w:r>
            <w:bookmarkStart w:id="377" w:name="xdx_403_eus-gaap--ProductWarrantyAccrual"/>
            <w:bookmarkEnd w:id="377"/>
          </w:p>
        </w:tc>
      </w:tr>
      <w:tr>
        <w:trPr/>
        <w:tc>
          <w:tcPr>
            <w:tcW w:w="2930" w:type="dxa"/>
            <w:tcBorders/>
            <w:shd w:fill="FFFFFF" w:val="clear"/>
            <w:vAlign w:val="center"/>
          </w:tcPr>
          <w:p>
            <w:pPr>
              <w:pStyle w:val="TableContents"/>
              <w:bidi w:val="0"/>
              <w:spacing w:before="0" w:after="283"/>
              <w:jc w:val="left"/>
              <w:rPr/>
            </w:pPr>
            <w:r>
              <w:rPr/>
              <w:t>Provision of warranty expense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pPr>
            <w:r>
              <w:rPr/>
              <w:t>198</w:t>
            </w:r>
          </w:p>
        </w:tc>
        <w:tc>
          <w:tcPr>
            <w:tcW w:w="110" w:type="dxa"/>
            <w:tcBorders/>
            <w:shd w:fill="FFFFFF" w:val="clear"/>
            <w:vAlign w:val="center"/>
          </w:tcPr>
          <w:p>
            <w:pPr>
              <w:pStyle w:val="TableContents"/>
              <w:bidi w:val="0"/>
              <w:spacing w:before="0" w:after="283"/>
              <w:jc w:val="left"/>
              <w:rPr/>
            </w:pPr>
            <w:r>
              <w:rPr/>
              <w:t> </w:t>
            </w:r>
            <w:bookmarkStart w:id="378" w:name="xdx_40D_eus-gaap--ProductWarrantyAccrual"/>
            <w:bookmarkEnd w:id="378"/>
          </w:p>
        </w:tc>
      </w:tr>
      <w:tr>
        <w:trPr/>
        <w:tc>
          <w:tcPr>
            <w:tcW w:w="2930" w:type="dxa"/>
            <w:tcBorders/>
            <w:shd w:fill="CCEEFF" w:val="clear"/>
            <w:vAlign w:val="center"/>
          </w:tcPr>
          <w:p>
            <w:pPr>
              <w:pStyle w:val="TableContents"/>
              <w:bidi w:val="0"/>
              <w:spacing w:before="0" w:after="283"/>
              <w:jc w:val="left"/>
              <w:rPr/>
            </w:pPr>
            <w:r>
              <w:rPr/>
              <w:t>Settlement of warranty claims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3" w:type="dxa"/>
            <w:tcBorders>
              <w:bottom w:val="single" w:sz="8" w:space="0" w:color="000000"/>
            </w:tcBorders>
            <w:shd w:fill="CCEEFF" w:val="clear"/>
            <w:tcMar>
              <w:bottom w:w="28" w:type="dxa"/>
            </w:tcMar>
            <w:vAlign w:val="center"/>
          </w:tcPr>
          <w:p>
            <w:pPr>
              <w:pStyle w:val="TableContents"/>
              <w:bidi w:val="0"/>
              <w:spacing w:before="0" w:after="283"/>
              <w:jc w:val="right"/>
              <w:rPr/>
            </w:pPr>
            <w:r>
              <w:rPr/>
              <w:t>(161</w:t>
            </w:r>
          </w:p>
        </w:tc>
        <w:tc>
          <w:tcPr>
            <w:tcW w:w="110" w:type="dxa"/>
            <w:tcBorders/>
            <w:shd w:fill="CCEEFF" w:val="clear"/>
            <w:vAlign w:val="center"/>
          </w:tcPr>
          <w:p>
            <w:pPr>
              <w:pStyle w:val="TableContents"/>
              <w:bidi w:val="0"/>
              <w:spacing w:before="0" w:after="283"/>
              <w:jc w:val="left"/>
              <w:rPr/>
            </w:pPr>
            <w:r>
              <w:rPr/>
              <w:t>)</w:t>
            </w:r>
            <w:bookmarkStart w:id="379" w:name="xdx_406_eus-gaap--ProductWarrantyAccrual"/>
            <w:bookmarkEnd w:id="379"/>
          </w:p>
        </w:tc>
      </w:tr>
      <w:tr>
        <w:trPr/>
        <w:tc>
          <w:tcPr>
            <w:tcW w:w="2930" w:type="dxa"/>
            <w:tcBorders/>
            <w:shd w:fill="FFFFFF" w:val="clear"/>
            <w:vAlign w:val="center"/>
          </w:tcPr>
          <w:p>
            <w:pPr>
              <w:pStyle w:val="TableContents"/>
              <w:bidi w:val="0"/>
              <w:spacing w:before="0" w:after="283"/>
              <w:jc w:val="left"/>
              <w:rPr/>
            </w:pPr>
            <w:r>
              <w:rPr/>
              <w:t>Ending warranty obligation</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3" w:type="dxa"/>
            <w:tcBorders>
              <w:bottom w:val="double" w:sz="6" w:space="0" w:color="000000"/>
            </w:tcBorders>
            <w:shd w:fill="FFFFFF" w:val="clear"/>
            <w:tcMar>
              <w:bottom w:w="28" w:type="dxa"/>
            </w:tcMar>
            <w:vAlign w:val="center"/>
          </w:tcPr>
          <w:p>
            <w:pPr>
              <w:pStyle w:val="TableContents"/>
              <w:bidi w:val="0"/>
              <w:spacing w:before="0" w:after="283"/>
              <w:jc w:val="right"/>
              <w:rPr/>
            </w:pPr>
            <w:r>
              <w:rPr/>
              <w:t>904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0" w:name="xdx_8AE_zZRvUy5dZyIh"/>
      <w:bookmarkEnd w:id="380"/>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81" w:name="xdx_86C_zDIIps5SYFaa"/>
      <w:bookmarkStart w:id="382" w:name="xdx_84C_eus-gaap--ConcentrationRiskCredi"/>
      <w:bookmarkEnd w:id="381"/>
      <w:bookmarkEnd w:id="382"/>
      <w:r>
        <w:rPr>
          <w:rFonts w:ascii="Times New Roman;Times;Serif" w:hAnsi="Times New Roman;Times;Serif"/>
          <w:b w:val="false"/>
          <w:i/>
          <w:caps w:val="false"/>
          <w:smallCaps w:val="false"/>
          <w:sz w:val="20"/>
          <w:u w:val="single"/>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receivables from Customer A and Customer B comprised approximately </w:t>
      </w:r>
      <w:bookmarkStart w:id="383" w:name="xdx_902_eus-gaap--ConcentrationRiskPerce"/>
      <w:bookmarkEnd w:id="383"/>
      <w:r>
        <w:rPr>
          <w:rFonts w:ascii="Times New Roman;Times;Serif" w:hAnsi="Times New Roman;Times;Serif"/>
          <w:b w:val="false"/>
          <w:i w:val="false"/>
          <w:caps w:val="false"/>
          <w:smallCaps w:val="false"/>
          <w:sz w:val="20"/>
        </w:rPr>
        <w:t xml:space="preserve">19%, and </w:t>
      </w:r>
      <w:bookmarkStart w:id="384" w:name="xdx_901_eus-gaap--ConcentrationRiskPerce"/>
      <w:bookmarkEnd w:id="384"/>
      <w:r>
        <w:rPr>
          <w:rFonts w:ascii="Times New Roman;Times;Serif" w:hAnsi="Times New Roman;Times;Serif"/>
          <w:b w:val="false"/>
          <w:i w:val="false"/>
          <w:caps w:val="false"/>
          <w:smallCaps w:val="false"/>
          <w:sz w:val="20"/>
        </w:rPr>
        <w:t xml:space="preserve">14%, respectively, of accounts receivable. As of December 31, 2025, receivables from Customer A comprised approximately </w:t>
      </w:r>
      <w:bookmarkStart w:id="385" w:name="xdx_901_eus-gaap--ConcentrationRiskPerce"/>
      <w:bookmarkEnd w:id="385"/>
      <w:r>
        <w:rPr>
          <w:rFonts w:ascii="Times New Roman;Times;Serif" w:hAnsi="Times New Roman;Times;Serif"/>
          <w:b w:val="false"/>
          <w:i w:val="false"/>
          <w:caps w:val="false"/>
          <w:smallCaps w:val="false"/>
          <w:sz w:val="20"/>
        </w:rPr>
        <w:t>31% of accounts receivable. There are no other significant accounts receivable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from Customer A comprised approximately </w:t>
      </w:r>
      <w:bookmarkStart w:id="386" w:name="xdx_901_eus-gaap--ConcentrationRiskPerce"/>
      <w:bookmarkEnd w:id="386"/>
      <w:r>
        <w:rPr>
          <w:rFonts w:ascii="Times New Roman;Times;Serif" w:hAnsi="Times New Roman;Times;Serif"/>
          <w:b w:val="false"/>
          <w:i w:val="false"/>
          <w:caps w:val="false"/>
          <w:smallCaps w:val="false"/>
          <w:sz w:val="20"/>
        </w:rPr>
        <w:t xml:space="preserve">28% of the Company’s total revenue for the three months ended June 30, 2026. Sales from Customer A comprised approximately </w:t>
      </w:r>
      <w:bookmarkStart w:id="387" w:name="xdx_900_eus-gaap--ConcentrationRiskPerce"/>
      <w:bookmarkEnd w:id="387"/>
      <w:r>
        <w:rPr>
          <w:rFonts w:ascii="Times New Roman;Times;Serif" w:hAnsi="Times New Roman;Times;Serif"/>
          <w:b w:val="false"/>
          <w:i w:val="false"/>
          <w:caps w:val="false"/>
          <w:smallCaps w:val="false"/>
          <w:sz w:val="20"/>
        </w:rPr>
        <w:t xml:space="preserve">32% of the Company’s total revenue for the three months ended June 30, 2025. Sales from Customer A comprised approximately </w:t>
      </w:r>
      <w:bookmarkStart w:id="388" w:name="xdx_90B_eus-gaap--ConcentrationRiskPerce"/>
      <w:bookmarkEnd w:id="388"/>
      <w:r>
        <w:rPr>
          <w:rFonts w:ascii="Times New Roman;Times;Serif" w:hAnsi="Times New Roman;Times;Serif"/>
          <w:b w:val="false"/>
          <w:i w:val="false"/>
          <w:caps w:val="false"/>
          <w:smallCaps w:val="false"/>
          <w:sz w:val="20"/>
        </w:rPr>
        <w:t xml:space="preserve">22% of the Company’s total revenue for the six months ended June 30, 2026. Sales from Customer A comprised approximately </w:t>
      </w:r>
      <w:bookmarkStart w:id="389" w:name="xdx_902_eus-gaap--ConcentrationRiskPerce"/>
      <w:bookmarkEnd w:id="389"/>
      <w:r>
        <w:rPr>
          <w:rFonts w:ascii="Times New Roman;Times;Serif" w:hAnsi="Times New Roman;Times;Serif"/>
          <w:b w:val="false"/>
          <w:i w:val="false"/>
          <w:caps w:val="false"/>
          <w:smallCaps w:val="false"/>
          <w:sz w:val="20"/>
        </w:rPr>
        <w:t>26% of the Company’s total revenue for the six months ended June 30,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Concentrations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payables to Vendor A and Vendor B comprised approximately </w:t>
      </w:r>
      <w:bookmarkStart w:id="390" w:name="xdx_908_eus-gaap--ConcentrationRiskPerce"/>
      <w:bookmarkEnd w:id="390"/>
      <w:r>
        <w:rPr>
          <w:rFonts w:ascii="Times New Roman;Times;Serif" w:hAnsi="Times New Roman;Times;Serif"/>
          <w:b w:val="false"/>
          <w:i w:val="false"/>
          <w:caps w:val="false"/>
          <w:smallCaps w:val="false"/>
          <w:sz w:val="20"/>
        </w:rPr>
        <w:t xml:space="preserve">36% and </w:t>
      </w:r>
      <w:bookmarkStart w:id="391" w:name="xdx_90C_eus-gaap--ConcentrationRiskPerce"/>
      <w:bookmarkEnd w:id="391"/>
      <w:r>
        <w:rPr>
          <w:rFonts w:ascii="Times New Roman;Times;Serif" w:hAnsi="Times New Roman;Times;Serif"/>
          <w:b w:val="false"/>
          <w:i w:val="false"/>
          <w:caps w:val="false"/>
          <w:smallCaps w:val="false"/>
          <w:sz w:val="20"/>
        </w:rPr>
        <w:t xml:space="preserve">15%, respectively, of accounts payables. As of December 31, 2025, payables to Vendor A, Vendor C, and Vendor D comprised approximately </w:t>
      </w:r>
      <w:bookmarkStart w:id="392" w:name="xdx_907_eus-gaap--ConcentrationRiskPerce"/>
      <w:bookmarkEnd w:id="392"/>
      <w:r>
        <w:rPr>
          <w:rFonts w:ascii="Times New Roman;Times;Serif" w:hAnsi="Times New Roman;Times;Serif"/>
          <w:b w:val="false"/>
          <w:i w:val="false"/>
          <w:caps w:val="false"/>
          <w:smallCaps w:val="false"/>
          <w:sz w:val="20"/>
        </w:rPr>
        <w:t xml:space="preserve">36%, </w:t>
      </w:r>
      <w:bookmarkStart w:id="393" w:name="xdx_90A_eus-gaap--ConcentrationRiskPerce"/>
      <w:bookmarkEnd w:id="393"/>
      <w:r>
        <w:rPr>
          <w:rFonts w:ascii="Times New Roman;Times;Serif" w:hAnsi="Times New Roman;Times;Serif"/>
          <w:b w:val="false"/>
          <w:i w:val="false"/>
          <w:caps w:val="false"/>
          <w:smallCaps w:val="false"/>
          <w:sz w:val="20"/>
        </w:rPr>
        <w:t xml:space="preserve">16%, and </w:t>
      </w:r>
      <w:bookmarkStart w:id="394" w:name="xdx_90E_eus-gaap--ConcentrationRiskPerce"/>
      <w:bookmarkEnd w:id="394"/>
      <w:r>
        <w:rPr>
          <w:rFonts w:ascii="Times New Roman;Times;Serif" w:hAnsi="Times New Roman;Times;Serif"/>
          <w:b w:val="false"/>
          <w:i w:val="false"/>
          <w:caps w:val="false"/>
          <w:smallCaps w:val="false"/>
          <w:sz w:val="20"/>
        </w:rPr>
        <w:t>12%, respectively, of accounts payables.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June 30, 2026, Vendor A and Vendor E accounted for approximately </w:t>
      </w:r>
      <w:bookmarkStart w:id="395" w:name="xdx_903_eus-gaap--ConcentrationRiskPerce"/>
      <w:bookmarkEnd w:id="395"/>
      <w:r>
        <w:rPr>
          <w:rFonts w:ascii="Times New Roman;Times;Serif" w:hAnsi="Times New Roman;Times;Serif"/>
          <w:b w:val="false"/>
          <w:i w:val="false"/>
          <w:caps w:val="false"/>
          <w:smallCaps w:val="false"/>
          <w:sz w:val="20"/>
        </w:rPr>
        <w:t xml:space="preserve">12% and </w:t>
      </w:r>
      <w:bookmarkStart w:id="396" w:name="xdx_90C_eus-gaap--ConcentrationRiskPerce"/>
      <w:bookmarkEnd w:id="396"/>
      <w:r>
        <w:rPr>
          <w:rFonts w:ascii="Times New Roman;Times;Serif" w:hAnsi="Times New Roman;Times;Serif"/>
          <w:b w:val="false"/>
          <w:i w:val="false"/>
          <w:caps w:val="false"/>
          <w:smallCaps w:val="false"/>
          <w:sz w:val="20"/>
        </w:rPr>
        <w:t xml:space="preserve">12%, respectively, of the Company’s total purchases. For the three months ended June 30, 2025, Vendor A and F accounted for approximately </w:t>
      </w:r>
      <w:bookmarkStart w:id="397" w:name="xdx_90C_eus-gaap--ConcentrationRiskPerce"/>
      <w:bookmarkEnd w:id="397"/>
      <w:r>
        <w:rPr>
          <w:rFonts w:ascii="Times New Roman;Times;Serif" w:hAnsi="Times New Roman;Times;Serif"/>
          <w:b w:val="false"/>
          <w:i w:val="false"/>
          <w:caps w:val="false"/>
          <w:smallCaps w:val="false"/>
          <w:sz w:val="20"/>
        </w:rPr>
        <w:t xml:space="preserve">11% and </w:t>
      </w:r>
      <w:bookmarkStart w:id="398" w:name="xdx_907_eus-gaap--ConcentrationRiskPerce"/>
      <w:bookmarkEnd w:id="398"/>
      <w:r>
        <w:rPr>
          <w:rFonts w:ascii="Times New Roman;Times;Serif" w:hAnsi="Times New Roman;Times;Serif"/>
          <w:b w:val="false"/>
          <w:i w:val="false"/>
          <w:caps w:val="false"/>
          <w:smallCaps w:val="false"/>
          <w:sz w:val="20"/>
        </w:rPr>
        <w:t xml:space="preserve">14%, respectively, of the Company’s total purchases. For the six months ended June 30, 2026, Vendor A and Vendor E accounted for approximately </w:t>
      </w:r>
      <w:bookmarkStart w:id="399" w:name="xdx_90F_eus-gaap--ConcentrationRiskPerce"/>
      <w:bookmarkEnd w:id="399"/>
      <w:r>
        <w:rPr>
          <w:rFonts w:ascii="Times New Roman;Times;Serif" w:hAnsi="Times New Roman;Times;Serif"/>
          <w:b w:val="false"/>
          <w:i w:val="false"/>
          <w:caps w:val="false"/>
          <w:smallCaps w:val="false"/>
          <w:sz w:val="20"/>
        </w:rPr>
        <w:t xml:space="preserve">12% and </w:t>
      </w:r>
      <w:bookmarkStart w:id="400" w:name="xdx_90B_eus-gaap--ConcentrationRiskPerce"/>
      <w:bookmarkEnd w:id="400"/>
      <w:r>
        <w:rPr>
          <w:rFonts w:ascii="Times New Roman;Times;Serif" w:hAnsi="Times New Roman;Times;Serif"/>
          <w:b w:val="false"/>
          <w:i w:val="false"/>
          <w:caps w:val="false"/>
          <w:smallCaps w:val="false"/>
          <w:sz w:val="20"/>
        </w:rPr>
        <w:t xml:space="preserve">11%, respectively, of the Company’s total purchases. For the six months ended June 30, 2025, Vendor A accounted for approximately </w:t>
      </w:r>
      <w:bookmarkStart w:id="401" w:name="xdx_907_eus-gaap--ConcentrationRiskPerce"/>
      <w:bookmarkEnd w:id="401"/>
      <w:r>
        <w:rPr>
          <w:rFonts w:ascii="Times New Roman;Times;Serif" w:hAnsi="Times New Roman;Times;Serif"/>
          <w:b w:val="false"/>
          <w:i w:val="false"/>
          <w:caps w:val="false"/>
          <w:smallCaps w:val="false"/>
          <w:sz w:val="20"/>
        </w:rPr>
        <w:t>16% of the Company’s total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402" w:name="xdx_869_zZCQYAD2lKba"/>
      <w:bookmarkStart w:id="403" w:name="xdx_84B_eus-gaap--ShareBasedCompensation"/>
      <w:bookmarkEnd w:id="402"/>
      <w:bookmarkEnd w:id="403"/>
      <w:r>
        <w:rPr>
          <w:rFonts w:ascii="Times New Roman;Times;Serif" w:hAnsi="Times New Roman;Times;Serif"/>
          <w:b w:val="false"/>
          <w:i/>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 based compensation arrangements with employees and non-employee consultants using a fair value method which requires the recognition of compensation expense for costs related to all stock based payments, including stock options (</w:t>
      </w:r>
      <w:r>
        <w:rPr>
          <w:rFonts w:ascii="Times New Roman;Times;Serif" w:hAnsi="Times New Roman;Times;Serif"/>
          <w:b/>
          <w:i w:val="false"/>
          <w:caps w:val="false"/>
          <w:smallCaps w:val="false"/>
          <w:sz w:val="20"/>
        </w:rPr>
        <w:t>Note 11</w:t>
      </w:r>
      <w:r>
        <w:rPr>
          <w:rFonts w:ascii="Times New Roman;Times;Serif" w:hAnsi="Times New Roman;Times;Serif"/>
          <w:b w:val="false"/>
          <w:i w:val="false"/>
          <w:caps w:val="false"/>
          <w:smallCaps w:val="false"/>
          <w:sz w:val="20"/>
        </w:rPr>
        <w:t>). The fair value method requires the Company to estimate the fair value of stock 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has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404" w:name="xdx_86A_z82HoIkekCx5"/>
      <w:bookmarkStart w:id="405" w:name="xdx_844_eus-gaap--IncomeTaxPolicyTextBlo"/>
      <w:bookmarkEnd w:id="404"/>
      <w:bookmarkEnd w:id="405"/>
      <w:r>
        <w:rPr>
          <w:rFonts w:ascii="Times New Roman;Times;Serif" w:hAnsi="Times New Roman;Times;Serif"/>
          <w:b w:val="false"/>
          <w:i/>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(the “OBBB Act”) was signed into law in the United States. The OBBB Act includes significant provisions, such as the permanent extension and modification of certain provisions of the U.S. Tax Cuts and Jobs Act of 2017, modifications to the international tax framework and the restoration of favorable tax treatment for certain business provisions. The legislation has multiple effective dates, with certain provisions beginning in 2025 and others beginning at various dates through 2027. The Company does not expect the OBBB Act to materially impact the Company’s income tax position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406" w:name="xdx_86E_zwrU8oImVDk"/>
      <w:bookmarkStart w:id="407" w:name="xdx_848_eus-gaap--EarningsPerSharePolicy"/>
      <w:bookmarkEnd w:id="406"/>
      <w:bookmarkEnd w:id="407"/>
      <w:r>
        <w:rPr>
          <w:rFonts w:ascii="Times New Roman;Times;Serif" w:hAnsi="Times New Roman;Times;Serif"/>
          <w:b w:val="false"/>
          <w:i/>
          <w:caps w:val="false"/>
          <w:smallCaps w:val="false"/>
          <w:sz w:val="20"/>
          <w:u w:val="single"/>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calculated by dividing net loss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number of common shares included in the computation of diluted net loss gives effect to all potentially dilutive common equivalent shares, including outstanding stock options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equivalent shares are excluded from the computation of diluted net loss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8" w:name="xdx_89A_eus-gaap--ScheduleOfAntidilutive"/>
      <w:bookmarkEnd w:id="408"/>
      <w:r>
        <w:rPr>
          <w:rFonts w:ascii="Times New Roman;Times;Serif" w:hAnsi="Times New Roman;Times;Serif"/>
          <w:b w:val="false"/>
          <w:i w:val="false"/>
          <w:caps w:val="false"/>
          <w:smallCaps w:val="false"/>
          <w:sz w:val="20"/>
        </w:rPr>
        <w:t>The following table sets forth the number of potential shares of common stock that have been excluded from diluted net loss per share because their effect was anti-dilutive:</w:t>
      </w:r>
    </w:p>
    <w:p>
      <w:pPr>
        <w:pStyle w:val="TextBody"/>
        <w:bidi w:val="0"/>
        <w:spacing w:before="0" w:after="0"/>
        <w:ind w:left="0" w:right="0" w:hanging="0"/>
        <w:jc w:val="both"/>
        <w:rPr>
          <w:caps w:val="false"/>
          <w:smallCaps w:val="false"/>
        </w:rPr>
      </w:pPr>
      <w:r>
        <w:rPr>
          <w:caps w:val="false"/>
          <w:smallCaps w:val="false"/>
        </w:rPr>
        <w:t> </w:t>
      </w:r>
      <w:bookmarkStart w:id="409" w:name="xdx_8B7_z0CfFZukT51g"/>
      <w:bookmarkEnd w:id="409"/>
      <w:r>
        <w:rPr>
          <w:rFonts w:ascii="Times New Roman;Times;Serif" w:hAnsi="Times New Roman;Times;Serif"/>
          <w:b w:val="false"/>
          <w:i w:val="false"/>
          <w:caps w:val="false"/>
          <w:smallCaps w:val="false"/>
          <w:sz w:val="20"/>
        </w:rPr>
        <w:t>SCHEDULE OF POTENTIAL SHARES OF COMMON STOCK EXCLUDED FROM DILUTED NET LOSS PER SHARE</w:t>
      </w:r>
    </w:p>
    <w:tbl>
      <w:tblPr>
        <w:tblW w:w="6840" w:type="dxa"/>
        <w:jc w:val="left"/>
        <w:tblInd w:w="0" w:type="dxa"/>
        <w:tblLayout w:type="fixed"/>
        <w:tblCellMar>
          <w:top w:w="0" w:type="dxa"/>
          <w:left w:w="0" w:type="dxa"/>
          <w:bottom w:w="0" w:type="dxa"/>
          <w:right w:w="0" w:type="dxa"/>
        </w:tblCellMar>
      </w:tblPr>
      <w:tblGrid>
        <w:gridCol w:w="4865"/>
        <w:gridCol w:w="60"/>
        <w:gridCol w:w="60"/>
        <w:gridCol w:w="800"/>
        <w:gridCol w:w="60"/>
        <w:gridCol w:w="60"/>
        <w:gridCol w:w="60"/>
        <w:gridCol w:w="800"/>
        <w:gridCol w:w="75"/>
      </w:tblGrid>
      <w:tr>
        <w:trPr/>
        <w:tc>
          <w:tcPr>
            <w:tcW w:w="4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10" w:name="xdx_497_20260101__20260630_zwlhcJpeasid"/>
            <w:bookmarkEnd w:id="410"/>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11" w:name="xdx_490_20250101__20250630_z4dc1NWaG0K4"/>
            <w:bookmarkEnd w:id="411"/>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vAlign w:val="center"/>
          </w:tcPr>
          <w:p>
            <w:pPr>
              <w:pStyle w:val="TableContents"/>
              <w:bidi w:val="0"/>
              <w:spacing w:before="0" w:after="283"/>
              <w:jc w:val="center"/>
              <w:rPr/>
            </w:pPr>
            <w:r>
              <w:rPr/>
              <w:t>June 30,</w:t>
            </w:r>
          </w:p>
        </w:tc>
        <w:tc>
          <w:tcPr>
            <w:tcW w:w="75" w:type="dxa"/>
            <w:tcBorders/>
            <w:vAlign w:val="center"/>
          </w:tcPr>
          <w:p>
            <w:pPr>
              <w:pStyle w:val="TableContents"/>
              <w:bidi w:val="0"/>
              <w:spacing w:before="0" w:after="283"/>
              <w:jc w:val="center"/>
              <w:rPr/>
            </w:pPr>
            <w:r>
              <w:rPr/>
              <w:t> </w:t>
            </w:r>
          </w:p>
        </w:tc>
      </w:tr>
      <w:tr>
        <w:trPr/>
        <w:tc>
          <w:tcPr>
            <w:tcW w:w="4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bookmarkStart w:id="412" w:name="xdx_401_eus-gaap--AntidilutiveSecurities"/>
            <w:bookmarkEnd w:id="412"/>
          </w:p>
        </w:tc>
      </w:tr>
      <w:tr>
        <w:trPr/>
        <w:tc>
          <w:tcPr>
            <w:tcW w:w="4865"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251,401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425,616</w:t>
            </w:r>
          </w:p>
        </w:tc>
        <w:tc>
          <w:tcPr>
            <w:tcW w:w="75" w:type="dxa"/>
            <w:tcBorders/>
            <w:shd w:fill="CCEEFF" w:val="clear"/>
            <w:vAlign w:val="center"/>
          </w:tcPr>
          <w:p>
            <w:pPr>
              <w:pStyle w:val="TableContents"/>
              <w:bidi w:val="0"/>
              <w:spacing w:before="0" w:after="283"/>
              <w:jc w:val="left"/>
              <w:rPr/>
            </w:pPr>
            <w:r>
              <w:rPr/>
              <w:t> </w:t>
            </w:r>
            <w:bookmarkStart w:id="413" w:name="xdx_407_eus-gaap--AntidilutiveSecurities"/>
            <w:bookmarkEnd w:id="413"/>
          </w:p>
        </w:tc>
      </w:tr>
      <w:tr>
        <w:trPr/>
        <w:tc>
          <w:tcPr>
            <w:tcW w:w="4865"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346,726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19,588</w:t>
            </w:r>
          </w:p>
        </w:tc>
        <w:tc>
          <w:tcPr>
            <w:tcW w:w="75" w:type="dxa"/>
            <w:tcBorders/>
            <w:shd w:fill="FFFFFF" w:val="clear"/>
            <w:vAlign w:val="center"/>
          </w:tcPr>
          <w:p>
            <w:pPr>
              <w:pStyle w:val="TableContents"/>
              <w:bidi w:val="0"/>
              <w:spacing w:before="0" w:after="283"/>
              <w:jc w:val="left"/>
              <w:rPr/>
            </w:pPr>
            <w:r>
              <w:rPr/>
              <w:t> </w:t>
            </w:r>
            <w:bookmarkStart w:id="414" w:name="xdx_401_eus-gaap--AntidilutiveSecurities"/>
            <w:bookmarkEnd w:id="414"/>
          </w:p>
        </w:tc>
      </w:tr>
      <w:tr>
        <w:trPr/>
        <w:tc>
          <w:tcPr>
            <w:tcW w:w="4865" w:type="dxa"/>
            <w:tcBorders/>
            <w:shd w:fill="CCEEFF" w:val="clear"/>
            <w:vAlign w:val="center"/>
          </w:tcPr>
          <w:p>
            <w:pPr>
              <w:pStyle w:val="TableContents"/>
              <w:bidi w:val="0"/>
              <w:spacing w:before="0" w:after="283"/>
              <w:jc w:val="left"/>
              <w:rPr/>
            </w:pPr>
            <w:r>
              <w:rPr/>
              <w:t>Series A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231,784</w:t>
            </w:r>
          </w:p>
        </w:tc>
        <w:tc>
          <w:tcPr>
            <w:tcW w:w="75" w:type="dxa"/>
            <w:tcBorders/>
            <w:shd w:fill="CCEEFF" w:val="clear"/>
            <w:vAlign w:val="center"/>
          </w:tcPr>
          <w:p>
            <w:pPr>
              <w:pStyle w:val="TableContents"/>
              <w:bidi w:val="0"/>
              <w:spacing w:before="0" w:after="283"/>
              <w:jc w:val="left"/>
              <w:rPr/>
            </w:pPr>
            <w:r>
              <w:rPr/>
              <w:t> </w:t>
            </w:r>
            <w:bookmarkStart w:id="415" w:name="xdx_407_eus-gaap--AntidilutiveSecurities"/>
            <w:bookmarkEnd w:id="415"/>
          </w:p>
        </w:tc>
      </w:tr>
      <w:tr>
        <w:trPr/>
        <w:tc>
          <w:tcPr>
            <w:tcW w:w="4865" w:type="dxa"/>
            <w:tcBorders/>
            <w:shd w:fill="FFFFFF" w:val="clear"/>
            <w:vAlign w:val="center"/>
          </w:tcPr>
          <w:p>
            <w:pPr>
              <w:pStyle w:val="TableContents"/>
              <w:bidi w:val="0"/>
              <w:spacing w:before="0" w:after="283"/>
              <w:jc w:val="left"/>
              <w:rPr/>
            </w:pPr>
            <w:r>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128,025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15,825</w:t>
            </w:r>
          </w:p>
        </w:tc>
        <w:tc>
          <w:tcPr>
            <w:tcW w:w="75" w:type="dxa"/>
            <w:tcBorders/>
            <w:shd w:fill="FFFFFF" w:val="clear"/>
            <w:vAlign w:val="center"/>
          </w:tcPr>
          <w:p>
            <w:pPr>
              <w:pStyle w:val="TableContents"/>
              <w:bidi w:val="0"/>
              <w:spacing w:before="0" w:after="283"/>
              <w:jc w:val="left"/>
              <w:rPr/>
            </w:pPr>
            <w:r>
              <w:rPr/>
              <w:t> </w:t>
            </w:r>
            <w:bookmarkStart w:id="416" w:name="xdx_40D_eus-gaap--AntidilutiveSecurities"/>
            <w:bookmarkEnd w:id="416"/>
          </w:p>
        </w:tc>
      </w:tr>
      <w:tr>
        <w:trPr/>
        <w:tc>
          <w:tcPr>
            <w:tcW w:w="4865" w:type="dxa"/>
            <w:tcBorders/>
            <w:shd w:fill="CCEEFF" w:val="clear"/>
            <w:vAlign w:val="center"/>
          </w:tcPr>
          <w:p>
            <w:pPr>
              <w:pStyle w:val="TableContents"/>
              <w:bidi w:val="0"/>
              <w:spacing w:before="0" w:after="283"/>
              <w:jc w:val="left"/>
              <w:rPr/>
            </w:pPr>
            <w:r>
              <w:rPr/>
              <w:t>Weighted average number of common shares-basic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726,152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692,813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17" w:name="xdx_8A2_zUIxncLaNQR9"/>
      <w:bookmarkEnd w:id="417"/>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418" w:name="xdx_867_zuS776Dp8FVa"/>
      <w:bookmarkStart w:id="419" w:name="xdx_84C_eus-gaap--PriorPeriodReclassific"/>
      <w:bookmarkEnd w:id="418"/>
      <w:bookmarkEnd w:id="419"/>
      <w:r>
        <w:rPr>
          <w:rFonts w:ascii="Times New Roman;Times;Serif" w:hAnsi="Times New Roman;Times;Serif"/>
          <w:b w:val="false"/>
          <w:i/>
          <w:caps w:val="false"/>
          <w:smallCaps w:val="false"/>
          <w:sz w:val="20"/>
          <w:u w:val="single"/>
        </w:rPr>
        <w:t>Reclassifications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in the prior year’s consolidated financial statements have been reclassified to conform to the current year’s presentation. These reclassifications had no impact on previously reported net loss, total assets, total liabilities, stockholders’ equity, or the previously reported net decrease in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420" w:name="xdx_863_zG4nkfgh7twi"/>
      <w:bookmarkStart w:id="421" w:name="xdx_845_eus-gaap--SegmentReportingPolicy"/>
      <w:bookmarkEnd w:id="420"/>
      <w:bookmarkEnd w:id="421"/>
      <w:r>
        <w:rPr>
          <w:rFonts w:ascii="Times New Roman;Times;Serif" w:hAnsi="Times New Roman;Times;Serif"/>
          <w:b w:val="false"/>
          <w:i/>
          <w:caps w:val="false"/>
          <w:smallCaps w:val="false"/>
          <w:sz w:val="20"/>
          <w:u w:val="single"/>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w:t>
      </w:r>
      <w:r>
        <w:rPr>
          <w:rFonts w:ascii="Times New Roman;Times;Serif" w:hAnsi="Times New Roman;Times;Serif"/>
          <w:b/>
          <w:i w:val="false"/>
          <w:caps w:val="false"/>
          <w:smallCaps w:val="false"/>
          <w:sz w:val="20"/>
        </w:rPr>
        <w:t>Note 12</w:t>
      </w:r>
      <w:r>
        <w:rPr>
          <w:rFonts w:ascii="Times New Roman;Times;Serif" w:hAnsi="Times New Roman;Times;Serif"/>
          <w:b w:val="false"/>
          <w:i w:val="false"/>
          <w:caps w:val="false"/>
          <w:smallCaps w:val="false"/>
          <w:sz w:val="20"/>
        </w:rPr>
        <w:t>) as components of the Company for which separate discrete financial information is available and that are regularly reviewed by the Company’s Chief Executive Officer, the chief operating decision maker, to make decisions about resource allocation and assess performance. The Company currently manages its business through two operating and reportable segments.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422" w:name="xdx_868_zA9tNznygpP"/>
      <w:bookmarkStart w:id="423" w:name="xdx_84C_eus-gaap--NewAccountingPronounce"/>
      <w:bookmarkEnd w:id="422"/>
      <w:bookmarkEnd w:id="423"/>
      <w:r>
        <w:rPr>
          <w:rFonts w:ascii="Times New Roman;Times;Serif" w:hAnsi="Times New Roman;Times;Serif"/>
          <w:b w:val="false"/>
          <w:i/>
          <w:caps w:val="false"/>
          <w:smallCaps w:val="false"/>
          <w:sz w:val="20"/>
          <w:u w:val="single"/>
        </w:rPr>
        <w:t>Recently issued accounting pronouncements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Disclosures (Subtopic 220-40): Disaggregation of Income Statement Expenses, which requires a public entity to disclose additional information about specific expense categories in the notes to the financial statements on an annual and interim basis. It is effective for fiscal years beginning after December 15, 2026, and interim periods within fiscal years beginning after December 15, 2027. In January 2025, the FASB issued ASU 2025-01 to clarify that all public entities, including non-calendar year-end entities, should adopt the disclosure requirements of ASU 2024-03. The Company is currently evaluating the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Measurement of Credit Losses for Accounts Receivable and Contract Assets, which provides a practical expedient related to the estimation of expected credit losses for certain financial assets measured on an amortized cost basis, including current accounts receivable and current contract assets under FASB Accounting Standards Codification 606 - Revenues from Contracts with Customers. Under the practical expedient, a public entity may assume that current conditions as of the balance sheet date remain unchanged over the remaining life of the financial asset when developing reasonable and supportable forecasts used to estimate expected credit losses. This ASU is effective for the Company on January 1, 2026, with early adoption permitted. The adoption of this new standard did not have a material impact on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Improvements, which clarifies interim disclosure requirements and the applicability of Topic 270. This ASU is effective for the Company on January 1, 2028, with early adoption permitted. The Company does not expect the adoption of this ASU to have a material impact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FASB issued ASU 2026-01 Equity (Topic 505): Initial Measurement of Paid-In-Kind Dividends on Equity-Classified Preferred Stock. The guidance in ASU 2026-01 clarifies how issuers initially measure paid-in-kind (“PIK”) dividends on equity-classified preferred stock by requiring issuers to use the PIK dividend rate stated in the preferred stock agreement. ASU 2026-01 will be effective for the Company’s annual reporting periods beginning after December 15, 2026, and for interim reporting periods within those annual periods, with early adoption permitted. Entities may apply the amendments on either a prospective basis or a modified retrospective basis for equity-classified preferred stock instruments that are outstanding as of the initial application date. The Company is currently evaluating the impact that adoption of ASU 2026-01 may have on its financial statements.</w:t>
      </w:r>
    </w:p>
    <w:p>
      <w:pPr>
        <w:pStyle w:val="TextBody"/>
        <w:bidi w:val="0"/>
        <w:spacing w:before="0" w:after="0"/>
        <w:ind w:left="0" w:right="0" w:hanging="0"/>
        <w:jc w:val="both"/>
        <w:rPr>
          <w:caps w:val="false"/>
          <w:smallCaps w:val="false"/>
        </w:rPr>
      </w:pPr>
      <w:bookmarkStart w:id="424" w:name="xdx_856_z4GoPxW58eCl"/>
      <w:bookmarkEnd w:id="424"/>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425" w:name="xdx_809_eus-gaap--FairValueMeasurementIn"/>
      <w:bookmarkEnd w:id="425"/>
      <w:r>
        <w:rPr>
          <w:rFonts w:ascii="Times New Roman;Times;Serif" w:hAnsi="Times New Roman;Times;Serif"/>
          <w:b/>
          <w:i w:val="false"/>
          <w:caps/>
          <w:sz w:val="20"/>
        </w:rPr>
        <w:t xml:space="preserve">Note 3 - </w:t>
      </w:r>
      <w:bookmarkStart w:id="426" w:name="xdx_823_zXodjQ3ltn2f"/>
      <w:bookmarkEnd w:id="426"/>
      <w:r>
        <w:rPr>
          <w:rFonts w:ascii="Times New Roman;Times;Serif" w:hAnsi="Times New Roman;Times;Serif"/>
          <w:b/>
          <w:i w:val="false"/>
          <w:caps/>
          <w:sz w:val="20"/>
        </w:rPr>
        <w:t>FAIR VALUE MEASUREMENTS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inputs are quoted prices (unadjusted) in active markets for identical assets or liabilities.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inputs are inputs other than quoted prices included within Level 1 that are observable for a similar asset or liability, either directly or indirectly.</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inputs are unobservable inputs that reflect the Company’s own assumptions about the inputs that market participants would use in pricing the asset or liability.</w:t>
            </w:r>
          </w:p>
        </w:tc>
      </w:tr>
    </w:tbl>
    <w:p>
      <w:pPr>
        <w:pStyle w:val="TextBody"/>
        <w:bidi w:val="0"/>
        <w:spacing w:before="0" w:after="0"/>
        <w:ind w:left="36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3 - Fair Value Measurements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7" w:name="xdx_893_eus-gaap--ScheduleOfFairValueAss"/>
      <w:bookmarkEnd w:id="427"/>
      <w:r>
        <w:rPr>
          <w:rFonts w:ascii="Times New Roman;Times;Serif" w:hAnsi="Times New Roman;Times;Serif"/>
          <w:b w:val="false"/>
          <w:i w:val="false"/>
          <w:caps w:val="false"/>
          <w:smallCaps w:val="false"/>
          <w:sz w:val="20"/>
        </w:rPr>
        <w:t>The following table presents assets and liabilities that were measured at fair value in the Unaudited Condensed Consolidated Balance Sheets on a recurring basis as of June 30, 2026.</w:t>
      </w:r>
    </w:p>
    <w:p>
      <w:pPr>
        <w:pStyle w:val="TextBody"/>
        <w:bidi w:val="0"/>
        <w:spacing w:before="0" w:after="0"/>
        <w:ind w:left="0" w:right="0" w:hanging="0"/>
        <w:jc w:val="both"/>
        <w:rPr>
          <w:caps w:val="false"/>
          <w:smallCaps w:val="false"/>
        </w:rPr>
      </w:pPr>
      <w:r>
        <w:rPr>
          <w:caps w:val="false"/>
          <w:smallCaps w:val="false"/>
        </w:rPr>
        <w:t> </w:t>
      </w:r>
      <w:bookmarkStart w:id="428" w:name="xdx_8B8_zVhxJkgrhd9g"/>
      <w:bookmarkEnd w:id="428"/>
      <w:r>
        <w:rPr>
          <w:rFonts w:ascii="Times New Roman;Times;Serif" w:hAnsi="Times New Roman;Times;Serif"/>
          <w:b w:val="false"/>
          <w:i w:val="false"/>
          <w:caps w:val="false"/>
          <w:smallCaps w:val="false"/>
          <w:sz w:val="20"/>
        </w:rPr>
        <w:t>SCHEDULE OF FAIR VALUE OF ASSETS AND LIABILITIES</w:t>
      </w:r>
    </w:p>
    <w:tbl>
      <w:tblPr>
        <w:tblW w:w="8335" w:type="dxa"/>
        <w:jc w:val="left"/>
        <w:tblInd w:w="0" w:type="dxa"/>
        <w:tblLayout w:type="fixed"/>
        <w:tblCellMar>
          <w:top w:w="0" w:type="dxa"/>
          <w:left w:w="0" w:type="dxa"/>
          <w:bottom w:w="0" w:type="dxa"/>
          <w:right w:w="0" w:type="dxa"/>
        </w:tblCellMar>
      </w:tblPr>
      <w:tblGrid>
        <w:gridCol w:w="3155"/>
        <w:gridCol w:w="60"/>
        <w:gridCol w:w="507"/>
        <w:gridCol w:w="937"/>
        <w:gridCol w:w="60"/>
        <w:gridCol w:w="60"/>
        <w:gridCol w:w="302"/>
        <w:gridCol w:w="557"/>
        <w:gridCol w:w="60"/>
        <w:gridCol w:w="60"/>
        <w:gridCol w:w="185"/>
        <w:gridCol w:w="569"/>
        <w:gridCol w:w="60"/>
        <w:gridCol w:w="60"/>
        <w:gridCol w:w="264"/>
        <w:gridCol w:w="490"/>
        <w:gridCol w:w="60"/>
        <w:gridCol w:w="60"/>
        <w:gridCol w:w="211"/>
        <w:gridCol w:w="543"/>
        <w:gridCol w:w="75"/>
      </w:tblGrid>
      <w:tr>
        <w:trPr/>
        <w:tc>
          <w:tcPr>
            <w:tcW w:w="3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5"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June Public Offering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29" w:name="xdx_98A_eus-gaap--DerivativeLiabilitiesN"/>
            <w:bookmarkEnd w:id="429"/>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30" w:name="xdx_98C_eus-gaap--LiabilitiesFairValueDi"/>
            <w:bookmarkEnd w:id="430"/>
          </w:p>
        </w:tc>
        <w:tc>
          <w:tcPr>
            <w:tcW w:w="5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31" w:name="xdx_980_eus-gaap--LiabilitiesFairValueDi"/>
            <w:bookmarkEnd w:id="431"/>
          </w:p>
        </w:tc>
        <w:tc>
          <w:tcPr>
            <w:tcW w:w="56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32" w:name="xdx_986_eus-gaap--LiabilitiesFairValueDi"/>
            <w:bookmarkEnd w:id="432"/>
          </w:p>
        </w:tc>
        <w:tc>
          <w:tcPr>
            <w:tcW w:w="4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33" w:name="xdx_982_eus-gaap--LiabilitiesFairValueDi"/>
            <w:bookmarkEnd w:id="433"/>
          </w:p>
        </w:tc>
        <w:tc>
          <w:tcPr>
            <w:tcW w:w="54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4" w:name="xdx_98E_eus-gaap--DerivativeLiabilitiesN"/>
            <w:bookmarkEnd w:id="434"/>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5" w:name="xdx_98C_eus-gaap--LiabilitiesFairValueDi"/>
            <w:bookmarkEnd w:id="435"/>
          </w:p>
        </w:tc>
        <w:tc>
          <w:tcPr>
            <w:tcW w:w="5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6" w:name="xdx_986_eus-gaap--LiabilitiesFairValueDi"/>
            <w:bookmarkEnd w:id="436"/>
          </w:p>
        </w:tc>
        <w:tc>
          <w:tcPr>
            <w:tcW w:w="5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7" w:name="xdx_982_eus-gaap--LiabilitiesFairValueDi"/>
            <w:bookmarkEnd w:id="437"/>
          </w:p>
        </w:tc>
        <w:tc>
          <w:tcPr>
            <w:tcW w:w="4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8" w:name="xdx_980_eus-gaap--LiabilitiesFairValueDi"/>
            <w:bookmarkEnd w:id="438"/>
          </w:p>
        </w:tc>
        <w:tc>
          <w:tcPr>
            <w:tcW w:w="5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December 31, 2025:</w:t>
      </w:r>
    </w:p>
    <w:p>
      <w:pPr>
        <w:pStyle w:val="TextBody"/>
        <w:bidi w:val="0"/>
        <w:spacing w:before="0" w:after="0"/>
        <w:ind w:left="0" w:right="0" w:hanging="0"/>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3155"/>
        <w:gridCol w:w="60"/>
        <w:gridCol w:w="392"/>
        <w:gridCol w:w="1052"/>
        <w:gridCol w:w="60"/>
        <w:gridCol w:w="60"/>
        <w:gridCol w:w="232"/>
        <w:gridCol w:w="627"/>
        <w:gridCol w:w="60"/>
        <w:gridCol w:w="60"/>
        <w:gridCol w:w="211"/>
        <w:gridCol w:w="543"/>
        <w:gridCol w:w="60"/>
        <w:gridCol w:w="60"/>
        <w:gridCol w:w="205"/>
        <w:gridCol w:w="549"/>
        <w:gridCol w:w="60"/>
        <w:gridCol w:w="60"/>
        <w:gridCol w:w="211"/>
        <w:gridCol w:w="543"/>
        <w:gridCol w:w="75"/>
      </w:tblGrid>
      <w:tr>
        <w:trPr/>
        <w:tc>
          <w:tcPr>
            <w:tcW w:w="3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5"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Term Loan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9" w:name="xdx_98B_eus-gaap--DerivativeLiabilitiesN"/>
            <w:bookmarkEnd w:id="439"/>
          </w:p>
        </w:tc>
        <w:tc>
          <w:tcPr>
            <w:tcW w:w="10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40" w:name="xdx_98E_eus-gaap--LiabilitiesFairValueDi"/>
            <w:bookmarkEnd w:id="440"/>
          </w:p>
        </w:tc>
        <w:tc>
          <w:tcPr>
            <w:tcW w:w="6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41" w:name="xdx_989_eus-gaap--LiabilitiesFairValueDi"/>
            <w:bookmarkEnd w:id="441"/>
          </w:p>
        </w:tc>
        <w:tc>
          <w:tcPr>
            <w:tcW w:w="543"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42" w:name="xdx_98D_eus-gaap--LiabilitiesFairValueDi"/>
            <w:bookmarkEnd w:id="442"/>
          </w:p>
        </w:tc>
        <w:tc>
          <w:tcPr>
            <w:tcW w:w="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43" w:name="xdx_98F_eus-gaap--LiabilitiesFairValueDi"/>
            <w:bookmarkEnd w:id="443"/>
          </w:p>
        </w:tc>
        <w:tc>
          <w:tcPr>
            <w:tcW w:w="543"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June Public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44" w:name="xdx_984_eus-gaap--DerivativeLiabilitiesN"/>
            <w:bookmarkEnd w:id="444"/>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45" w:name="xdx_98D_eus-gaap--LiabilitiesFairValueDi"/>
            <w:bookmarkEnd w:id="445"/>
          </w:p>
        </w:tc>
        <w:tc>
          <w:tcPr>
            <w:tcW w:w="6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46" w:name="xdx_980_eus-gaap--LiabilitiesFairValueDi"/>
            <w:bookmarkEnd w:id="446"/>
          </w:p>
        </w:tc>
        <w:tc>
          <w:tcPr>
            <w:tcW w:w="5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47" w:name="xdx_98F_eus-gaap--LiabilitiesFairValueDi"/>
            <w:bookmarkEnd w:id="447"/>
          </w:p>
        </w:tc>
        <w:tc>
          <w:tcPr>
            <w:tcW w:w="5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48" w:name="xdx_98A_eus-gaap--LiabilitiesFairValueDi"/>
            <w:bookmarkEnd w:id="448"/>
          </w:p>
        </w:tc>
        <w:tc>
          <w:tcPr>
            <w:tcW w:w="5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49" w:name="xdx_988_eus-gaap--DerivativeLiabilitiesN"/>
            <w:bookmarkEnd w:id="449"/>
          </w:p>
        </w:tc>
        <w:tc>
          <w:tcPr>
            <w:tcW w:w="10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50" w:name="xdx_98A_eus-gaap--LiabilitiesFairValueDi"/>
            <w:bookmarkEnd w:id="450"/>
          </w:p>
        </w:tc>
        <w:tc>
          <w:tcPr>
            <w:tcW w:w="6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51" w:name="xdx_98D_eus-gaap--LiabilitiesFairValueDi"/>
            <w:bookmarkEnd w:id="451"/>
          </w:p>
        </w:tc>
        <w:tc>
          <w:tcPr>
            <w:tcW w:w="5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52" w:name="xdx_988_eus-gaap--LiabilitiesFairValueDi"/>
            <w:bookmarkEnd w:id="452"/>
          </w:p>
        </w:tc>
        <w:tc>
          <w:tcPr>
            <w:tcW w:w="5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53" w:name="xdx_98E_eus-gaap--LiabilitiesFairValueDi"/>
            <w:bookmarkEnd w:id="453"/>
          </w:p>
        </w:tc>
        <w:tc>
          <w:tcPr>
            <w:tcW w:w="5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454" w:name="xdx_8A5_zCIrMN26XTVg"/>
      <w:bookmarkEnd w:id="45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accounts receivable and accounts payable are considered level 1 and approximate fair value as of June 30, 2026 and December 31, 2025 because of the relatively short maturity of these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term loan as of June 30, 2026 and December 31, 2025 approximates fair value as the interest rate does not differ significantly from the current market rates available to the Company for similar debt and is considered Level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Level 3 activity for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455" w:name="xdx_809_eus-gaap--InventoryDisclosureTex"/>
      <w:bookmarkEnd w:id="455"/>
      <w:r>
        <w:rPr>
          <w:rFonts w:ascii="Times New Roman;Times;Serif" w:hAnsi="Times New Roman;Times;Serif"/>
          <w:b/>
          <w:i w:val="false"/>
          <w:caps/>
          <w:sz w:val="20"/>
        </w:rPr>
        <w:t>Note 4 -</w:t>
      </w:r>
      <w:bookmarkStart w:id="456" w:name="xdx_822_z3YBIg2tq72g"/>
      <w:bookmarkEnd w:id="456"/>
      <w:r>
        <w:rPr>
          <w:rFonts w:ascii="Times New Roman;Times;Serif" w:hAnsi="Times New Roman;Times;Serif"/>
          <w:b/>
          <w:i w:val="false"/>
          <w:caps/>
          <w:sz w:val="20"/>
        </w:rPr>
        <w:t xml:space="preserve"> INVENTORY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7" w:name="xdx_892_eus-gaap--ScheduleOfInventoryCur"/>
      <w:bookmarkEnd w:id="457"/>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both"/>
        <w:rPr>
          <w:caps w:val="false"/>
          <w:smallCaps w:val="false"/>
        </w:rPr>
      </w:pPr>
      <w:r>
        <w:rPr>
          <w:caps w:val="false"/>
          <w:smallCaps w:val="false"/>
        </w:rPr>
        <w:t> </w:t>
      </w:r>
      <w:bookmarkStart w:id="458" w:name="xdx_8B1_zWFi6JdbOez7"/>
      <w:bookmarkEnd w:id="458"/>
      <w:r>
        <w:rPr>
          <w:rFonts w:ascii="Times New Roman;Times;Serif" w:hAnsi="Times New Roman;Times;Serif"/>
          <w:b w:val="false"/>
          <w:i w:val="false"/>
          <w:caps w:val="false"/>
          <w:smallCaps w:val="false"/>
          <w:sz w:val="20"/>
        </w:rPr>
        <w:t>SCHEDULE OF INVENTORY</w:t>
      </w:r>
    </w:p>
    <w:tbl>
      <w:tblPr>
        <w:tblW w:w="3919" w:type="dxa"/>
        <w:jc w:val="left"/>
        <w:tblInd w:w="0" w:type="dxa"/>
        <w:tblLayout w:type="fixed"/>
        <w:tblCellMar>
          <w:top w:w="0" w:type="dxa"/>
          <w:left w:w="0" w:type="dxa"/>
          <w:bottom w:w="0" w:type="dxa"/>
          <w:right w:w="0" w:type="dxa"/>
        </w:tblCellMar>
      </w:tblPr>
      <w:tblGrid>
        <w:gridCol w:w="1490"/>
        <w:gridCol w:w="60"/>
        <w:gridCol w:w="140"/>
        <w:gridCol w:w="680"/>
        <w:gridCol w:w="60"/>
        <w:gridCol w:w="60"/>
        <w:gridCol w:w="230"/>
        <w:gridCol w:w="1124"/>
        <w:gridCol w:w="75"/>
      </w:tblGrid>
      <w:tr>
        <w:trPr/>
        <w:tc>
          <w:tcPr>
            <w:tcW w:w="14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459" w:name="xdx_49B_20260630_zU6Ncka1q3ac"/>
            <w:bookmarkEnd w:id="459"/>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June 30,</w:t>
              <w:b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60" w:name="xdx_49B_20251231_zV11WBxlUBD"/>
            <w:bookmarkEnd w:id="460"/>
          </w:p>
        </w:tc>
        <w:tc>
          <w:tcPr>
            <w:tcW w:w="1354" w:type="dxa"/>
            <w:gridSpan w:val="2"/>
            <w:tcBorders>
              <w:bottom w:val="single" w:sz="8" w:space="0" w:color="000000"/>
            </w:tcBorders>
            <w:tcMar>
              <w:bottom w:w="28" w:type="dxa"/>
            </w:tcMar>
            <w:vAlign w:val="center"/>
          </w:tcPr>
          <w:p>
            <w:pPr>
              <w:pStyle w:val="TableContents"/>
              <w:bidi w:val="0"/>
              <w:spacing w:before="0" w:after="283"/>
              <w:jc w:val="center"/>
              <w:rPr/>
            </w:pPr>
            <w:r>
              <w:rPr/>
              <w:t>December 31,</w:t>
              <w:br/>
              <w:t>2025</w:t>
            </w:r>
          </w:p>
        </w:tc>
        <w:tc>
          <w:tcPr>
            <w:tcW w:w="75" w:type="dxa"/>
            <w:tcBorders/>
            <w:vAlign w:val="center"/>
          </w:tcPr>
          <w:p>
            <w:pPr>
              <w:pStyle w:val="TableContents"/>
              <w:bidi w:val="0"/>
              <w:spacing w:before="0" w:after="283"/>
              <w:jc w:val="left"/>
              <w:rPr/>
            </w:pPr>
            <w:r>
              <w:rPr/>
              <w:t> </w:t>
            </w:r>
            <w:bookmarkStart w:id="461" w:name="xdx_404_eus-gaap--InventoryRawMaterials_"/>
            <w:bookmarkEnd w:id="461"/>
          </w:p>
        </w:tc>
      </w:tr>
      <w:tr>
        <w:trPr/>
        <w:tc>
          <w:tcPr>
            <w:tcW w:w="1490" w:type="dxa"/>
            <w:tcBorders/>
            <w:shd w:fill="CCEEFF" w:val="clear"/>
            <w:vAlign w:val="center"/>
          </w:tcPr>
          <w:p>
            <w:pPr>
              <w:pStyle w:val="TableContents"/>
              <w:bidi w:val="0"/>
              <w:spacing w:before="0" w:after="283"/>
              <w:jc w:val="both"/>
              <w:rPr/>
            </w:pPr>
            <w:r>
              <w:rPr/>
              <w:t>Raw material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17,818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124" w:type="dxa"/>
            <w:tcBorders/>
            <w:shd w:fill="CCEEFF" w:val="clear"/>
            <w:vAlign w:val="center"/>
          </w:tcPr>
          <w:p>
            <w:pPr>
              <w:pStyle w:val="TableContents"/>
              <w:bidi w:val="0"/>
              <w:spacing w:before="0" w:after="283"/>
              <w:jc w:val="right"/>
              <w:rPr/>
            </w:pPr>
            <w:r>
              <w:rPr/>
              <w:t>20,933</w:t>
            </w:r>
          </w:p>
        </w:tc>
        <w:tc>
          <w:tcPr>
            <w:tcW w:w="75" w:type="dxa"/>
            <w:tcBorders/>
            <w:shd w:fill="CCEEFF" w:val="clear"/>
            <w:vAlign w:val="center"/>
          </w:tcPr>
          <w:p>
            <w:pPr>
              <w:pStyle w:val="TableContents"/>
              <w:bidi w:val="0"/>
              <w:spacing w:before="0" w:after="283"/>
              <w:jc w:val="left"/>
              <w:rPr/>
            </w:pPr>
            <w:r>
              <w:rPr/>
              <w:t> </w:t>
            </w:r>
            <w:bookmarkStart w:id="462" w:name="xdx_401_eus-gaap--InventoryFinishedGoods"/>
            <w:bookmarkEnd w:id="462"/>
          </w:p>
        </w:tc>
      </w:tr>
      <w:tr>
        <w:trPr/>
        <w:tc>
          <w:tcPr>
            <w:tcW w:w="1490" w:type="dxa"/>
            <w:tcBorders/>
            <w:shd w:fill="FFFFFF" w:val="clear"/>
            <w:vAlign w:val="center"/>
          </w:tcPr>
          <w:p>
            <w:pPr>
              <w:pStyle w:val="TableContents"/>
              <w:bidi w:val="0"/>
              <w:spacing w:before="0" w:after="283"/>
              <w:jc w:val="both"/>
              <w:rPr/>
            </w:pPr>
            <w:r>
              <w:rPr/>
              <w:t>Finished goods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pPr>
            <w:r>
              <w:rPr/>
              <w:t>3,301</w:t>
            </w:r>
          </w:p>
        </w:tc>
        <w:tc>
          <w:tcPr>
            <w:tcW w:w="75" w:type="dxa"/>
            <w:tcBorders/>
            <w:shd w:fill="FFFFFF" w:val="clear"/>
            <w:vAlign w:val="center"/>
          </w:tcPr>
          <w:p>
            <w:pPr>
              <w:pStyle w:val="TableContents"/>
              <w:bidi w:val="0"/>
              <w:spacing w:before="0" w:after="283"/>
              <w:jc w:val="left"/>
              <w:rPr/>
            </w:pPr>
            <w:r>
              <w:rPr/>
              <w:t> </w:t>
            </w:r>
            <w:bookmarkStart w:id="463" w:name="xdx_40B_eus-gaap--InventoryNet_iTI_pn3n3"/>
            <w:bookmarkEnd w:id="463"/>
          </w:p>
        </w:tc>
      </w:tr>
      <w:tr>
        <w:trPr/>
        <w:tc>
          <w:tcPr>
            <w:tcW w:w="1490" w:type="dxa"/>
            <w:tcBorders/>
            <w:shd w:fill="CCEEFF" w:val="clear"/>
            <w:vAlign w:val="center"/>
          </w:tcPr>
          <w:p>
            <w:pPr>
              <w:pStyle w:val="TableContents"/>
              <w:bidi w:val="0"/>
              <w:spacing w:before="0" w:after="283"/>
              <w:jc w:val="both"/>
              <w:rPr/>
            </w:pPr>
            <w:r>
              <w:rPr/>
              <w:t>Total inventory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20,341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4" w:type="dxa"/>
            <w:tcBorders>
              <w:bottom w:val="double" w:sz="6" w:space="0" w:color="000000"/>
            </w:tcBorders>
            <w:shd w:fill="CCEEFF" w:val="clear"/>
            <w:tcMar>
              <w:bottom w:w="28" w:type="dxa"/>
            </w:tcMar>
            <w:vAlign w:val="center"/>
          </w:tcPr>
          <w:p>
            <w:pPr>
              <w:pStyle w:val="TableContents"/>
              <w:bidi w:val="0"/>
              <w:spacing w:before="0" w:after="283"/>
              <w:jc w:val="right"/>
              <w:rPr/>
            </w:pPr>
            <w:r>
              <w:rPr/>
              <w:t>24,234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64" w:name="xdx_8AC_zouQMopp7Z73"/>
      <w:bookmarkEnd w:id="464"/>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465" w:name="xdx_806_eus-gaap--CommitmentsAndContinge"/>
      <w:bookmarkEnd w:id="465"/>
      <w:r>
        <w:rPr>
          <w:rFonts w:ascii="Times New Roman;Times;Serif" w:hAnsi="Times New Roman;Times;Serif"/>
          <w:b/>
          <w:i w:val="false"/>
          <w:caps/>
          <w:sz w:val="20"/>
        </w:rPr>
        <w:t xml:space="preserve">Note 5 - </w:t>
      </w:r>
      <w:bookmarkStart w:id="466" w:name="xdx_82F_zXbP3qqH2dXa"/>
      <w:bookmarkEnd w:id="466"/>
      <w:r>
        <w:rPr>
          <w:rFonts w:ascii="Times New Roman;Times;Serif" w:hAnsi="Times New Roman;Times;Serif"/>
          <w:b/>
          <w:i w:val="false"/>
          <w:caps/>
          <w:sz w:val="20"/>
        </w:rPr>
        <w:t>COMMITMENTS AND CONTINGENCIES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leases related to the main office, warehouse space, research and development lab, engineering office, and sales office, all located in Reno, Nevada. The leases require annual escalating monthly payments ranging from $</w:t>
      </w:r>
      <w:bookmarkStart w:id="467" w:name="xdx_90A_eus-gaap--OperatingLeasePayments"/>
      <w:bookmarkEnd w:id="467"/>
      <w:r>
        <w:rPr>
          <w:rFonts w:ascii="Times New Roman;Times;Serif" w:hAnsi="Times New Roman;Times;Serif"/>
          <w:b w:val="false"/>
          <w:i w:val="false"/>
          <w:caps w:val="false"/>
          <w:smallCaps w:val="false"/>
          <w:sz w:val="20"/>
        </w:rPr>
        <w:t>111 to $</w:t>
      </w:r>
      <w:bookmarkStart w:id="468" w:name="xdx_907_eus-gaap--OperatingLeasePayments"/>
      <w:bookmarkEnd w:id="468"/>
      <w:r>
        <w:rPr>
          <w:rFonts w:ascii="Times New Roman;Times;Serif" w:hAnsi="Times New Roman;Times;Serif"/>
          <w:b w:val="false"/>
          <w:i w:val="false"/>
          <w:caps w:val="false"/>
          <w:smallCaps w:val="false"/>
          <w:sz w:val="20"/>
        </w:rPr>
        <w:t>309.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8, 2025, </w:t>
      </w:r>
      <w:bookmarkStart w:id="469" w:name="xdx_90F_eus-gaap--LesseeOperatingLeaseOp"/>
      <w:bookmarkEnd w:id="469"/>
      <w:r>
        <w:rPr>
          <w:rFonts w:ascii="Times New Roman;Times;Serif" w:hAnsi="Times New Roman;Times;Serif"/>
          <w:b w:val="false"/>
          <w:i w:val="false"/>
          <w:caps w:val="false"/>
          <w:smallCaps w:val="false"/>
          <w:sz w:val="20"/>
        </w:rPr>
        <w:t xml:space="preserve">the Company entered into a sixth lease amendment with its landlord to extend the lease term for an additional sixty-four (64) month period for the research and development lab and engineering office in Reno, Nevada. Under the terms of the amended lease, the base rent due shall be fully abated for the four (4) month period commencing on August 1, 2025, and ending on November 30, 2025. The lease is set to expire on </w:t>
      </w:r>
      <w:bookmarkStart w:id="470" w:name="xdx_903_eus-gaap--LeaseExpirationDate1_c"/>
      <w:bookmarkEnd w:id="470"/>
      <w:r>
        <w:rPr>
          <w:rFonts w:ascii="Times New Roman;Times;Serif" w:hAnsi="Times New Roman;Times;Serif"/>
          <w:b w:val="false"/>
          <w:i w:val="false"/>
          <w:caps w:val="false"/>
          <w:smallCaps w:val="false"/>
          <w:sz w:val="20"/>
        </w:rPr>
        <w:t>November 30,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1" w:name="xdx_890_ecustom--ScheduleOfBreakoutOfOpe"/>
      <w:bookmarkEnd w:id="471"/>
      <w:r>
        <w:rPr>
          <w:rFonts w:ascii="Times New Roman;Times;Serif" w:hAnsi="Times New Roman;Times;Serif"/>
          <w:b w:val="false"/>
          <w:i w:val="false"/>
          <w:caps w:val="false"/>
          <w:smallCaps w:val="false"/>
          <w:sz w:val="20"/>
        </w:rPr>
        <w:t>The following table presents the breakout of the operating leases as of:</w:t>
      </w:r>
    </w:p>
    <w:p>
      <w:pPr>
        <w:pStyle w:val="TextBody"/>
        <w:bidi w:val="0"/>
        <w:spacing w:before="0" w:after="0"/>
        <w:ind w:left="0" w:right="0" w:hanging="0"/>
        <w:jc w:val="both"/>
        <w:rPr>
          <w:caps w:val="false"/>
          <w:smallCaps w:val="false"/>
        </w:rPr>
      </w:pPr>
      <w:r>
        <w:rPr>
          <w:caps w:val="false"/>
          <w:smallCaps w:val="false"/>
        </w:rPr>
        <w:t> </w:t>
      </w:r>
      <w:bookmarkStart w:id="472" w:name="xdx_8B0_z5zzFuM5Kbp"/>
      <w:bookmarkEnd w:id="472"/>
      <w:r>
        <w:rPr>
          <w:rFonts w:ascii="Times New Roman;Times;Serif" w:hAnsi="Times New Roman;Times;Serif"/>
          <w:b w:val="false"/>
          <w:i w:val="false"/>
          <w:caps w:val="false"/>
          <w:smallCaps w:val="false"/>
          <w:sz w:val="20"/>
        </w:rPr>
        <w:t>SCHEDULE OF BREAKOUT OF OPERATING LEASES</w:t>
      </w:r>
    </w:p>
    <w:tbl>
      <w:tblPr>
        <w:tblW w:w="6659" w:type="dxa"/>
        <w:jc w:val="left"/>
        <w:tblInd w:w="0" w:type="dxa"/>
        <w:tblLayout w:type="fixed"/>
        <w:tblCellMar>
          <w:top w:w="0" w:type="dxa"/>
          <w:left w:w="0" w:type="dxa"/>
          <w:bottom w:w="0" w:type="dxa"/>
          <w:right w:w="0" w:type="dxa"/>
        </w:tblCellMar>
      </w:tblPr>
      <w:tblGrid>
        <w:gridCol w:w="3755"/>
        <w:gridCol w:w="60"/>
        <w:gridCol w:w="140"/>
        <w:gridCol w:w="845"/>
        <w:gridCol w:w="215"/>
        <w:gridCol w:w="60"/>
        <w:gridCol w:w="225"/>
        <w:gridCol w:w="1129"/>
        <w:gridCol w:w="23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73" w:name="xdx_49A_20260630_zxtCGKLo3PC4"/>
            <w:bookmarkEnd w:id="473"/>
          </w:p>
        </w:tc>
        <w:tc>
          <w:tcPr>
            <w:tcW w:w="985" w:type="dxa"/>
            <w:gridSpan w:val="2"/>
            <w:tcBorders>
              <w:bottom w:val="single" w:sz="8" w:space="0" w:color="000000"/>
            </w:tcBorders>
            <w:tcMar>
              <w:bottom w:w="28" w:type="dxa"/>
            </w:tcMar>
            <w:vAlign w:val="center"/>
          </w:tcPr>
          <w:p>
            <w:pPr>
              <w:pStyle w:val="TableContents"/>
              <w:bidi w:val="0"/>
              <w:spacing w:before="0" w:after="283"/>
              <w:jc w:val="center"/>
              <w:rPr/>
            </w:pPr>
            <w:r>
              <w:rPr/>
              <w:t>June 30,</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4" w:name="xdx_49F_20251231_zp6ptAUGpAek"/>
            <w:bookmarkEnd w:id="474"/>
          </w:p>
        </w:tc>
        <w:tc>
          <w:tcPr>
            <w:tcW w:w="1354" w:type="dxa"/>
            <w:gridSpan w:val="2"/>
            <w:tcBorders>
              <w:bottom w:val="single" w:sz="8" w:space="0" w:color="000000"/>
            </w:tcBorders>
            <w:tcMar>
              <w:bottom w:w="28" w:type="dxa"/>
            </w:tcMar>
            <w:vAlign w:val="center"/>
          </w:tcPr>
          <w:p>
            <w:pPr>
              <w:pStyle w:val="TableContents"/>
              <w:bidi w:val="0"/>
              <w:spacing w:before="0" w:after="283"/>
              <w:jc w:val="center"/>
              <w:rPr/>
            </w:pPr>
            <w:r>
              <w:rPr/>
              <w:t>December 31,</w:t>
              <w:br/>
              <w:t>2025</w:t>
            </w:r>
          </w:p>
        </w:tc>
        <w:tc>
          <w:tcPr>
            <w:tcW w:w="230" w:type="dxa"/>
            <w:tcBorders/>
            <w:vAlign w:val="center"/>
          </w:tcPr>
          <w:p>
            <w:pPr>
              <w:pStyle w:val="TableContents"/>
              <w:bidi w:val="0"/>
              <w:spacing w:before="0" w:after="283"/>
              <w:jc w:val="left"/>
              <w:rPr/>
            </w:pPr>
            <w:r>
              <w:rPr/>
              <w:t> </w:t>
            </w:r>
            <w:bookmarkStart w:id="475" w:name="xdx_40E_eus-gaap--OperatingLeaseRightOfU"/>
            <w:bookmarkEnd w:id="475"/>
          </w:p>
        </w:tc>
      </w:tr>
      <w:tr>
        <w:trPr/>
        <w:tc>
          <w:tcPr>
            <w:tcW w:w="3755" w:type="dxa"/>
            <w:tcBorders/>
            <w:shd w:fill="CCEEFF" w:val="clear"/>
            <w:vAlign w:val="center"/>
          </w:tcPr>
          <w:p>
            <w:pPr>
              <w:pStyle w:val="TableContents"/>
              <w:bidi w:val="0"/>
              <w:spacing w:before="0" w:after="283"/>
              <w:jc w:val="both"/>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14,654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15,240</w:t>
            </w:r>
          </w:p>
        </w:tc>
        <w:tc>
          <w:tcPr>
            <w:tcW w:w="230" w:type="dxa"/>
            <w:tcBorders/>
            <w:shd w:fill="CCEEFF" w:val="clear"/>
            <w:vAlign w:val="center"/>
          </w:tcPr>
          <w:p>
            <w:pPr>
              <w:pStyle w:val="TableContents"/>
              <w:bidi w:val="0"/>
              <w:spacing w:before="0" w:after="283"/>
              <w:jc w:val="left"/>
              <w:rPr/>
            </w:pPr>
            <w:r>
              <w:rPr/>
              <w:t> </w:t>
            </w:r>
            <w:bookmarkStart w:id="476" w:name="xdx_405_eus-gaap--OperatingLeaseLiabilit"/>
            <w:bookmarkEnd w:id="476"/>
          </w:p>
        </w:tc>
      </w:tr>
      <w:tr>
        <w:trPr/>
        <w:tc>
          <w:tcPr>
            <w:tcW w:w="3755" w:type="dxa"/>
            <w:tcBorders/>
            <w:shd w:fill="FFFFFF" w:val="clear"/>
            <w:vAlign w:val="center"/>
          </w:tcPr>
          <w:p>
            <w:pPr>
              <w:pStyle w:val="TableContents"/>
              <w:bidi w:val="0"/>
              <w:spacing w:before="0" w:after="283"/>
              <w:jc w:val="both"/>
              <w:rPr/>
            </w:pPr>
            <w:r>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2,360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2,533</w:t>
            </w:r>
          </w:p>
        </w:tc>
        <w:tc>
          <w:tcPr>
            <w:tcW w:w="230" w:type="dxa"/>
            <w:tcBorders/>
            <w:shd w:fill="FFFFFF" w:val="clear"/>
            <w:vAlign w:val="center"/>
          </w:tcPr>
          <w:p>
            <w:pPr>
              <w:pStyle w:val="TableContents"/>
              <w:bidi w:val="0"/>
              <w:spacing w:before="0" w:after="283"/>
              <w:jc w:val="left"/>
              <w:rPr/>
            </w:pPr>
            <w:r>
              <w:rPr/>
              <w:t> </w:t>
            </w:r>
            <w:bookmarkStart w:id="477" w:name="xdx_40F_eus-gaap--OperatingLeaseLiabilit"/>
            <w:bookmarkEnd w:id="477"/>
          </w:p>
        </w:tc>
      </w:tr>
      <w:tr>
        <w:trPr/>
        <w:tc>
          <w:tcPr>
            <w:tcW w:w="3755" w:type="dxa"/>
            <w:tcBorders/>
            <w:shd w:fill="CCEEFF" w:val="clear"/>
            <w:vAlign w:val="center"/>
          </w:tcPr>
          <w:p>
            <w:pPr>
              <w:pStyle w:val="TableContents"/>
              <w:bidi w:val="0"/>
              <w:spacing w:before="0" w:after="283"/>
              <w:jc w:val="both"/>
              <w:rPr/>
            </w:pPr>
            <w:r>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19,411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20,470</w:t>
            </w:r>
          </w:p>
        </w:tc>
        <w:tc>
          <w:tcPr>
            <w:tcW w:w="230" w:type="dxa"/>
            <w:tcBorders/>
            <w:shd w:fill="CCEEFF" w:val="clear"/>
            <w:vAlign w:val="center"/>
          </w:tcPr>
          <w:p>
            <w:pPr>
              <w:pStyle w:val="TableContents"/>
              <w:bidi w:val="0"/>
              <w:spacing w:before="0" w:after="283"/>
              <w:jc w:val="left"/>
              <w:rPr/>
            </w:pPr>
            <w:r>
              <w:rPr/>
              <w:t> </w:t>
            </w:r>
            <w:bookmarkStart w:id="478" w:name="xdx_40A_eus-gaap--OperatingLeaseLiabilit"/>
            <w:bookmarkEnd w:id="478"/>
          </w:p>
        </w:tc>
      </w:tr>
      <w:tr>
        <w:trPr/>
        <w:tc>
          <w:tcPr>
            <w:tcW w:w="3755" w:type="dxa"/>
            <w:tcBorders/>
            <w:shd w:fill="FFFFFF" w:val="clear"/>
            <w:vAlign w:val="center"/>
          </w:tcPr>
          <w:p>
            <w:pPr>
              <w:pStyle w:val="TableContents"/>
              <w:bidi w:val="0"/>
              <w:spacing w:before="0" w:after="283"/>
              <w:jc w:val="both"/>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pPr>
            <w:r>
              <w:rPr/>
              <w:t>21,771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pPr>
            <w:r>
              <w:rPr/>
              <w:t>23,003</w:t>
            </w:r>
          </w:p>
        </w:tc>
        <w:tc>
          <w:tcPr>
            <w:tcW w:w="23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both"/>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bookmarkStart w:id="479" w:name="xdx_908_eus-gaap--OperatingLeaseWeighted"/>
            <w:bookmarkEnd w:id="479"/>
            <w:r>
              <w:rPr>
                <w:rFonts w:ascii="Times New Roman;Times;Serif" w:hAnsi="Times New Roman;Times;Serif"/>
                <w:sz w:val="20"/>
              </w:rPr>
              <w:t>7.51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sz w:val="20"/>
              </w:rPr>
            </w:pPr>
            <w:bookmarkStart w:id="480" w:name="xdx_902_eus-gaap--OperatingLeaseWeighted"/>
            <w:bookmarkEnd w:id="480"/>
            <w:r>
              <w:rPr>
                <w:rFonts w:ascii="Times New Roman;Times;Serif" w:hAnsi="Times New Roman;Times;Serif"/>
                <w:sz w:val="20"/>
              </w:rPr>
              <w:t>7.88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both"/>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bookmarkStart w:id="481" w:name="xdx_904_eus-gaap--OperatingLeaseWeighted"/>
            <w:bookmarkEnd w:id="481"/>
            <w:r>
              <w:rPr/>
              <w:t>8.01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bookmarkStart w:id="482" w:name="xdx_90E_eus-gaap--OperatingLeaseWeighted"/>
            <w:bookmarkEnd w:id="482"/>
            <w:r>
              <w:rPr/>
              <w:t>7.99</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483" w:name="xdx_8A5_z8uwXD3WYty3"/>
      <w:bookmarkEnd w:id="48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our incremental borrowing rate include our implied credit rating and an estimate of secured borrowing rates based on comparable market data.</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5 - Commitments and Contingencies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4" w:name="xdx_89A_eus-gaap--LesseeOperatingLeaseLi"/>
      <w:bookmarkEnd w:id="484"/>
      <w:r>
        <w:rPr>
          <w:rFonts w:ascii="Times New Roman;Times;Serif" w:hAnsi="Times New Roman;Times;Serif"/>
          <w:b w:val="false"/>
          <w:i w:val="false"/>
          <w:caps w:val="false"/>
          <w:smallCaps w:val="false"/>
          <w:sz w:val="20"/>
        </w:rPr>
        <w:t>At June 30, 2026, the future minimum lease payments under these operating leases are as follows:</w:t>
      </w:r>
    </w:p>
    <w:p>
      <w:pPr>
        <w:pStyle w:val="TextBody"/>
        <w:bidi w:val="0"/>
        <w:spacing w:before="0" w:after="0"/>
        <w:ind w:left="0" w:right="0" w:hanging="0"/>
        <w:jc w:val="both"/>
        <w:rPr>
          <w:caps w:val="false"/>
          <w:smallCaps w:val="false"/>
        </w:rPr>
      </w:pPr>
      <w:r>
        <w:rPr>
          <w:caps w:val="false"/>
          <w:smallCaps w:val="false"/>
        </w:rPr>
        <w:t> </w:t>
      </w:r>
      <w:bookmarkStart w:id="485" w:name="xdx_8B6_zoPUAj1qt2fc"/>
      <w:bookmarkEnd w:id="485"/>
      <w:r>
        <w:rPr>
          <w:rFonts w:ascii="Times New Roman;Times;Serif" w:hAnsi="Times New Roman;Times;Serif"/>
          <w:b w:val="false"/>
          <w:i w:val="false"/>
          <w:caps w:val="false"/>
          <w:smallCaps w:val="false"/>
          <w:sz w:val="20"/>
        </w:rPr>
        <w:t>SCHEDULE OF FUTURE MINIMUM LEASE PAYMENTS UNDER OPERATING LEASES</w:t>
      </w:r>
    </w:p>
    <w:tbl>
      <w:tblPr>
        <w:tblW w:w="3855" w:type="dxa"/>
        <w:jc w:val="left"/>
        <w:tblInd w:w="0" w:type="dxa"/>
        <w:tblLayout w:type="fixed"/>
        <w:tblCellMar>
          <w:top w:w="0" w:type="dxa"/>
          <w:left w:w="0" w:type="dxa"/>
          <w:bottom w:w="28" w:type="dxa"/>
          <w:right w:w="0" w:type="dxa"/>
        </w:tblCellMar>
      </w:tblPr>
      <w:tblGrid>
        <w:gridCol w:w="2900"/>
        <w:gridCol w:w="60"/>
        <w:gridCol w:w="140"/>
        <w:gridCol w:w="680"/>
        <w:gridCol w:w="75"/>
      </w:tblGrid>
      <w:tr>
        <w:trPr/>
        <w:tc>
          <w:tcPr>
            <w:tcW w:w="2900" w:type="dxa"/>
            <w:tcBorders>
              <w:bottom w:val="single" w:sz="8" w:space="0" w:color="000000"/>
            </w:tcBorders>
            <w:vAlign w:val="center"/>
          </w:tcPr>
          <w:p>
            <w:pPr>
              <w:pStyle w:val="TableContents"/>
              <w:bidi w:val="0"/>
              <w:spacing w:before="0" w:after="283"/>
              <w:jc w:val="both"/>
              <w:rPr/>
            </w:pPr>
            <w:r>
              <w:rPr/>
              <w:t>Fiscal Years Ending</w:t>
            </w:r>
          </w:p>
        </w:tc>
        <w:tc>
          <w:tcPr>
            <w:tcW w:w="60" w:type="dxa"/>
            <w:tcBorders/>
            <w:tcMar>
              <w:bottom w:w="0" w:type="dxa"/>
            </w:tcMar>
            <w:vAlign w:val="center"/>
          </w:tcPr>
          <w:p>
            <w:pPr>
              <w:pStyle w:val="TableContents"/>
              <w:bidi w:val="0"/>
              <w:spacing w:before="0" w:after="283"/>
              <w:jc w:val="left"/>
              <w:rPr/>
            </w:pPr>
            <w:r>
              <w:rPr/>
              <w:t> </w:t>
            </w:r>
            <w:bookmarkStart w:id="486" w:name="xdx_491_20260630_zn4yKhatSDxe"/>
            <w:bookmarkEnd w:id="486"/>
          </w:p>
        </w:tc>
        <w:tc>
          <w:tcPr>
            <w:tcW w:w="8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bookmarkStart w:id="487" w:name="xdx_404_eus-gaap--LesseeOperatingLeaseLi"/>
            <w:bookmarkEnd w:id="487"/>
          </w:p>
        </w:tc>
      </w:tr>
      <w:tr>
        <w:trPr/>
        <w:tc>
          <w:tcPr>
            <w:tcW w:w="29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December 31, 2026</w:t>
            </w:r>
            <w:bookmarkStart w:id="488" w:name="xdx_F47_zv8KXe8VSl3h"/>
            <w:bookmarkEnd w:id="488"/>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2,149</w:t>
            </w:r>
          </w:p>
        </w:tc>
        <w:tc>
          <w:tcPr>
            <w:tcW w:w="75" w:type="dxa"/>
            <w:tcBorders/>
            <w:shd w:fill="CCEEFF" w:val="clear"/>
            <w:tcMar>
              <w:bottom w:w="0" w:type="dxa"/>
            </w:tcMar>
            <w:vAlign w:val="center"/>
          </w:tcPr>
          <w:p>
            <w:pPr>
              <w:pStyle w:val="TableContents"/>
              <w:bidi w:val="0"/>
              <w:spacing w:before="0" w:after="283"/>
              <w:jc w:val="left"/>
              <w:rPr/>
            </w:pPr>
            <w:r>
              <w:rPr/>
              <w:t> </w:t>
            </w:r>
            <w:bookmarkStart w:id="489" w:name="xdx_40F_eus-gaap--LesseeOperatingLeaseLi"/>
            <w:bookmarkEnd w:id="489"/>
          </w:p>
        </w:tc>
      </w:tr>
      <w:tr>
        <w:trPr/>
        <w:tc>
          <w:tcPr>
            <w:tcW w:w="2900" w:type="dxa"/>
            <w:tcBorders/>
            <w:shd w:fill="FFFFFF" w:val="clear"/>
            <w:tcMar>
              <w:bottom w:w="0" w:type="dxa"/>
            </w:tcMar>
            <w:vAlign w:val="center"/>
          </w:tcPr>
          <w:p>
            <w:pPr>
              <w:pStyle w:val="TableContents"/>
              <w:bidi w:val="0"/>
              <w:spacing w:before="0" w:after="283"/>
              <w:jc w:val="both"/>
              <w:rPr/>
            </w:pPr>
            <w:r>
              <w:rPr/>
              <w:t>December 31,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3,746</w:t>
            </w:r>
          </w:p>
        </w:tc>
        <w:tc>
          <w:tcPr>
            <w:tcW w:w="75" w:type="dxa"/>
            <w:tcBorders/>
            <w:shd w:fill="FFFFFF" w:val="clear"/>
            <w:tcMar>
              <w:bottom w:w="0" w:type="dxa"/>
            </w:tcMar>
            <w:vAlign w:val="center"/>
          </w:tcPr>
          <w:p>
            <w:pPr>
              <w:pStyle w:val="TableContents"/>
              <w:bidi w:val="0"/>
              <w:spacing w:before="0" w:after="283"/>
              <w:jc w:val="left"/>
              <w:rPr/>
            </w:pPr>
            <w:r>
              <w:rPr/>
              <w:t> </w:t>
            </w:r>
            <w:bookmarkStart w:id="490" w:name="xdx_401_eus-gaap--LesseeOperatingLeaseLi"/>
            <w:bookmarkEnd w:id="490"/>
          </w:p>
        </w:tc>
      </w:tr>
      <w:tr>
        <w:trPr/>
        <w:tc>
          <w:tcPr>
            <w:tcW w:w="2900" w:type="dxa"/>
            <w:tcBorders/>
            <w:shd w:fill="CCEEFF" w:val="clear"/>
            <w:tcMar>
              <w:bottom w:w="0" w:type="dxa"/>
            </w:tcMar>
            <w:vAlign w:val="center"/>
          </w:tcPr>
          <w:p>
            <w:pPr>
              <w:pStyle w:val="TableContents"/>
              <w:bidi w:val="0"/>
              <w:spacing w:before="0" w:after="283"/>
              <w:jc w:val="both"/>
              <w:rPr/>
            </w:pPr>
            <w:r>
              <w:rPr/>
              <w:t>December 31, 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3,860</w:t>
            </w:r>
          </w:p>
        </w:tc>
        <w:tc>
          <w:tcPr>
            <w:tcW w:w="75" w:type="dxa"/>
            <w:tcBorders/>
            <w:shd w:fill="CCEEFF" w:val="clear"/>
            <w:tcMar>
              <w:bottom w:w="0" w:type="dxa"/>
            </w:tcMar>
            <w:vAlign w:val="center"/>
          </w:tcPr>
          <w:p>
            <w:pPr>
              <w:pStyle w:val="TableContents"/>
              <w:bidi w:val="0"/>
              <w:spacing w:before="0" w:after="283"/>
              <w:jc w:val="left"/>
              <w:rPr/>
            </w:pPr>
            <w:r>
              <w:rPr/>
              <w:t> </w:t>
            </w:r>
            <w:bookmarkStart w:id="491" w:name="xdx_408_eus-gaap--LesseeOperatingLeaseLi"/>
            <w:bookmarkEnd w:id="491"/>
          </w:p>
        </w:tc>
      </w:tr>
      <w:tr>
        <w:trPr/>
        <w:tc>
          <w:tcPr>
            <w:tcW w:w="2900" w:type="dxa"/>
            <w:tcBorders/>
            <w:shd w:fill="FFFFFF" w:val="clear"/>
            <w:tcMar>
              <w:bottom w:w="0" w:type="dxa"/>
            </w:tcMar>
            <w:vAlign w:val="center"/>
          </w:tcPr>
          <w:p>
            <w:pPr>
              <w:pStyle w:val="TableContents"/>
              <w:bidi w:val="0"/>
              <w:spacing w:before="0" w:after="283"/>
              <w:jc w:val="both"/>
              <w:rPr/>
            </w:pPr>
            <w:r>
              <w:rPr/>
              <w:t>December 31, 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3,614</w:t>
            </w:r>
          </w:p>
        </w:tc>
        <w:tc>
          <w:tcPr>
            <w:tcW w:w="75" w:type="dxa"/>
            <w:tcBorders/>
            <w:shd w:fill="FFFFFF" w:val="clear"/>
            <w:tcMar>
              <w:bottom w:w="0" w:type="dxa"/>
            </w:tcMar>
            <w:vAlign w:val="center"/>
          </w:tcPr>
          <w:p>
            <w:pPr>
              <w:pStyle w:val="TableContents"/>
              <w:bidi w:val="0"/>
              <w:spacing w:before="0" w:after="283"/>
              <w:jc w:val="left"/>
              <w:rPr/>
            </w:pPr>
            <w:r>
              <w:rPr/>
              <w:t> </w:t>
            </w:r>
            <w:bookmarkStart w:id="492" w:name="xdx_40A_eus-gaap--LesseeOperatingLeaseLi"/>
            <w:bookmarkEnd w:id="492"/>
          </w:p>
        </w:tc>
      </w:tr>
      <w:tr>
        <w:trPr/>
        <w:tc>
          <w:tcPr>
            <w:tcW w:w="2900" w:type="dxa"/>
            <w:tcBorders/>
            <w:shd w:fill="CCEEFF" w:val="clear"/>
            <w:tcMar>
              <w:bottom w:w="0" w:type="dxa"/>
            </w:tcMar>
            <w:vAlign w:val="center"/>
          </w:tcPr>
          <w:p>
            <w:pPr>
              <w:pStyle w:val="TableContents"/>
              <w:bidi w:val="0"/>
              <w:spacing w:before="0" w:after="283"/>
              <w:jc w:val="both"/>
              <w:rPr/>
            </w:pPr>
            <w:r>
              <w:rPr/>
              <w:t>December 31, 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3,446</w:t>
            </w:r>
          </w:p>
        </w:tc>
        <w:tc>
          <w:tcPr>
            <w:tcW w:w="75" w:type="dxa"/>
            <w:tcBorders/>
            <w:shd w:fill="CCEEFF" w:val="clear"/>
            <w:tcMar>
              <w:bottom w:w="0" w:type="dxa"/>
            </w:tcMar>
            <w:vAlign w:val="center"/>
          </w:tcPr>
          <w:p>
            <w:pPr>
              <w:pStyle w:val="TableContents"/>
              <w:bidi w:val="0"/>
              <w:spacing w:before="0" w:after="283"/>
              <w:jc w:val="left"/>
              <w:rPr/>
            </w:pPr>
            <w:r>
              <w:rPr/>
              <w:t> </w:t>
            </w:r>
            <w:bookmarkStart w:id="493" w:name="xdx_405_ecustom--LesseeOperatingLeaseLia"/>
            <w:bookmarkEnd w:id="493"/>
          </w:p>
        </w:tc>
      </w:tr>
      <w:tr>
        <w:trPr/>
        <w:tc>
          <w:tcPr>
            <w:tcW w:w="2900" w:type="dxa"/>
            <w:tcBorders/>
            <w:shd w:fill="FFFFFF" w:val="clear"/>
            <w:tcMar>
              <w:bottom w:w="0" w:type="dxa"/>
            </w:tcMar>
            <w:vAlign w:val="center"/>
          </w:tcPr>
          <w:p>
            <w:pPr>
              <w:pStyle w:val="TableContents"/>
              <w:bidi w:val="0"/>
              <w:spacing w:before="0" w:after="283"/>
              <w:jc w:val="both"/>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12,600</w:t>
            </w:r>
          </w:p>
        </w:tc>
        <w:tc>
          <w:tcPr>
            <w:tcW w:w="75" w:type="dxa"/>
            <w:tcBorders/>
            <w:shd w:fill="FFFFFF" w:val="clear"/>
            <w:tcMar>
              <w:bottom w:w="0" w:type="dxa"/>
            </w:tcMar>
            <w:vAlign w:val="center"/>
          </w:tcPr>
          <w:p>
            <w:pPr>
              <w:pStyle w:val="TableContents"/>
              <w:bidi w:val="0"/>
              <w:spacing w:before="0" w:after="283"/>
              <w:jc w:val="left"/>
              <w:rPr/>
            </w:pPr>
            <w:r>
              <w:rPr/>
              <w:t> </w:t>
            </w:r>
            <w:bookmarkStart w:id="494" w:name="xdx_40F_eus-gaap--LesseeOperatingLeaseLi"/>
            <w:bookmarkEnd w:id="494"/>
          </w:p>
        </w:tc>
      </w:tr>
      <w:tr>
        <w:trPr/>
        <w:tc>
          <w:tcPr>
            <w:tcW w:w="2900" w:type="dxa"/>
            <w:tcBorders/>
            <w:shd w:fill="CCEEFF" w:val="clear"/>
            <w:tcMar>
              <w:bottom w:w="0" w:type="dxa"/>
            </w:tcMar>
            <w:vAlign w:val="center"/>
          </w:tcPr>
          <w:p>
            <w:pPr>
              <w:pStyle w:val="TableContents"/>
              <w:bidi w:val="0"/>
              <w:spacing w:before="0" w:after="283"/>
              <w:jc w:val="both"/>
              <w:rPr/>
            </w:pPr>
            <w:r>
              <w:rPr/>
              <w:t>Total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29,415</w:t>
            </w:r>
          </w:p>
        </w:tc>
        <w:tc>
          <w:tcPr>
            <w:tcW w:w="75" w:type="dxa"/>
            <w:tcBorders/>
            <w:shd w:fill="CCEEFF" w:val="clear"/>
            <w:tcMar>
              <w:bottom w:w="0" w:type="dxa"/>
            </w:tcMar>
            <w:vAlign w:val="center"/>
          </w:tcPr>
          <w:p>
            <w:pPr>
              <w:pStyle w:val="TableContents"/>
              <w:bidi w:val="0"/>
              <w:spacing w:before="0" w:after="283"/>
              <w:jc w:val="left"/>
              <w:rPr/>
            </w:pPr>
            <w:r>
              <w:rPr/>
              <w:t> </w:t>
            </w:r>
            <w:bookmarkStart w:id="495" w:name="xdx_40E_eus-gaap--LesseeOperatingLeaseLi"/>
            <w:bookmarkEnd w:id="495"/>
          </w:p>
        </w:tc>
      </w:tr>
      <w:tr>
        <w:trPr/>
        <w:tc>
          <w:tcPr>
            <w:tcW w:w="2900" w:type="dxa"/>
            <w:tcBorders/>
            <w:shd w:fill="FFFFFF" w:val="clear"/>
            <w:tcMar>
              <w:bottom w:w="0" w:type="dxa"/>
            </w:tcMar>
            <w:vAlign w:val="center"/>
          </w:tcPr>
          <w:p>
            <w:pPr>
              <w:pStyle w:val="TableContents"/>
              <w:bidi w:val="0"/>
              <w:spacing w:before="0" w:after="283"/>
              <w:jc w:val="both"/>
              <w:rPr/>
            </w:pPr>
            <w:r>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7,644</w:t>
            </w:r>
          </w:p>
        </w:tc>
        <w:tc>
          <w:tcPr>
            <w:tcW w:w="75" w:type="dxa"/>
            <w:tcBorders/>
            <w:shd w:fill="FFFFFF" w:val="clear"/>
            <w:tcMar>
              <w:bottom w:w="0" w:type="dxa"/>
            </w:tcMar>
            <w:vAlign w:val="center"/>
          </w:tcPr>
          <w:p>
            <w:pPr>
              <w:pStyle w:val="TableContents"/>
              <w:bidi w:val="0"/>
              <w:spacing w:before="0" w:after="283"/>
              <w:jc w:val="left"/>
              <w:rPr/>
            </w:pPr>
            <w:r>
              <w:rPr/>
              <w:t> </w:t>
            </w:r>
            <w:bookmarkStart w:id="496" w:name="xdx_40A_eus-gaap--OperatingLeaseLiabilit"/>
            <w:bookmarkEnd w:id="496"/>
          </w:p>
        </w:tc>
      </w:tr>
      <w:tr>
        <w:trPr/>
        <w:tc>
          <w:tcPr>
            <w:tcW w:w="2900" w:type="dxa"/>
            <w:tcBorders/>
            <w:shd w:fill="CCEEFF" w:val="clear"/>
            <w:tcMar>
              <w:bottom w:w="0" w:type="dxa"/>
            </w:tcMar>
            <w:vAlign w:val="center"/>
          </w:tcPr>
          <w:p>
            <w:pPr>
              <w:pStyle w:val="TableContents"/>
              <w:bidi w:val="0"/>
              <w:spacing w:before="0" w:after="283"/>
              <w:jc w:val="both"/>
              <w:rPr/>
            </w:pPr>
            <w:r>
              <w:rPr/>
              <w:t>Total 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80" w:type="dxa"/>
            <w:tcBorders>
              <w:bottom w:val="double" w:sz="6" w:space="0" w:color="000000"/>
            </w:tcBorders>
            <w:shd w:fill="CCEEFF" w:val="clear"/>
            <w:vAlign w:val="center"/>
          </w:tcPr>
          <w:p>
            <w:pPr>
              <w:pStyle w:val="TableContents"/>
              <w:bidi w:val="0"/>
              <w:spacing w:before="0" w:after="283"/>
              <w:jc w:val="right"/>
              <w:rPr/>
            </w:pPr>
            <w:r>
              <w:rPr/>
              <w:t>21,771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245"/>
        <w:gridCol w:w="7775"/>
      </w:tblGrid>
      <w:tr>
        <w:trPr/>
        <w:tc>
          <w:tcPr>
            <w:tcW w:w="245" w:type="dxa"/>
            <w:tcBorders/>
            <w:vAlign w:val="center"/>
          </w:tcPr>
          <w:p>
            <w:pPr>
              <w:pStyle w:val="TableContents"/>
              <w:bidi w:val="0"/>
              <w:spacing w:before="0" w:after="283"/>
              <w:jc w:val="right"/>
              <w:rPr>
                <w:rFonts w:ascii="Times New Roman;Times;Serif" w:hAnsi="Times New Roman;Times;Serif"/>
                <w:position w:val="7"/>
                <w:sz w:val="16"/>
                <w:sz w:val="20"/>
              </w:rPr>
            </w:pPr>
            <w:bookmarkStart w:id="497" w:name="xdx_F0B_zO45ygD0OpZg"/>
            <w:bookmarkEnd w:id="497"/>
            <w:r>
              <w:rPr>
                <w:rFonts w:ascii="Times New Roman;Times;Serif" w:hAnsi="Times New Roman;Times;Serif"/>
                <w:position w:val="7"/>
                <w:sz w:val="16"/>
                <w:sz w:val="20"/>
              </w:rPr>
              <w:t>(1)</w:t>
            </w:r>
          </w:p>
        </w:tc>
        <w:tc>
          <w:tcPr>
            <w:tcW w:w="7775" w:type="dxa"/>
            <w:tcBorders/>
            <w:vAlign w:val="center"/>
          </w:tcPr>
          <w:p>
            <w:pPr>
              <w:pStyle w:val="TableContents"/>
              <w:bidi w:val="0"/>
              <w:spacing w:before="0" w:after="283"/>
              <w:jc w:val="both"/>
              <w:rPr>
                <w:rFonts w:ascii="Times New Roman;Times;Serif" w:hAnsi="Times New Roman;Times;Serif"/>
                <w:sz w:val="20"/>
              </w:rPr>
            </w:pPr>
            <w:bookmarkStart w:id="498" w:name="xdx_F17_zraF4B8O2Xzc"/>
            <w:bookmarkEnd w:id="498"/>
            <w:r>
              <w:rPr>
                <w:rFonts w:ascii="Times New Roman;Times;Serif" w:hAnsi="Times New Roman;Times;Serif"/>
                <w:sz w:val="20"/>
              </w:rPr>
              <w:t>Represents scheduled payments for the remaining six-month period ending December 31, 2026.</w:t>
            </w:r>
          </w:p>
        </w:tc>
      </w:tr>
    </w:tbl>
    <w:p>
      <w:pPr>
        <w:pStyle w:val="TextBody"/>
        <w:bidi w:val="0"/>
        <w:spacing w:before="0" w:after="0"/>
        <w:ind w:left="0" w:right="0" w:hanging="0"/>
        <w:jc w:val="both"/>
        <w:rPr>
          <w:caps w:val="false"/>
          <w:smallCaps w:val="false"/>
        </w:rPr>
      </w:pPr>
      <w:bookmarkStart w:id="499" w:name="xdx_8A5_zs5bwqizeZmh"/>
      <w:bookmarkEnd w:id="499"/>
      <w:r>
        <w:rPr>
          <w:caps w:val="false"/>
          <w:smallCaps w:val="false"/>
        </w:rPr>
        <w:t> </w:t>
      </w:r>
    </w:p>
    <w:p>
      <w:pPr>
        <w:pStyle w:val="TextBody"/>
        <w:bidi w:val="0"/>
        <w:spacing w:before="0" w:after="0"/>
        <w:ind w:left="0" w:right="0" w:hanging="0"/>
        <w:jc w:val="both"/>
        <w:rPr>
          <w:caps w:val="false"/>
          <w:smallCaps w:val="false"/>
        </w:rPr>
      </w:pPr>
      <w:bookmarkStart w:id="500" w:name="xdx_89B_eus-gaap--LeaseCostTableTextBloc"/>
      <w:bookmarkEnd w:id="500"/>
      <w:r>
        <w:rPr>
          <w:caps w:val="false"/>
          <w:smallCaps w:val="false"/>
        </w:rPr>
        <w:t> </w:t>
      </w:r>
      <w:bookmarkStart w:id="501" w:name="xdx_8BC_zJaMHaib1DH7"/>
      <w:bookmarkEnd w:id="501"/>
      <w:r>
        <w:rPr>
          <w:rFonts w:ascii="Times New Roman;Times;Serif" w:hAnsi="Times New Roman;Times;Serif"/>
          <w:b w:val="false"/>
          <w:i w:val="false"/>
          <w:caps w:val="false"/>
          <w:smallCaps w:val="false"/>
          <w:sz w:val="20"/>
        </w:rPr>
        <w:t>SCHEDULE OF LEASE COST</w:t>
      </w:r>
    </w:p>
    <w:tbl>
      <w:tblPr>
        <w:tblW w:w="8819" w:type="dxa"/>
        <w:jc w:val="left"/>
        <w:tblInd w:w="0" w:type="dxa"/>
        <w:tblLayout w:type="fixed"/>
        <w:tblCellMar>
          <w:top w:w="0" w:type="dxa"/>
          <w:left w:w="0" w:type="dxa"/>
          <w:bottom w:w="0" w:type="dxa"/>
          <w:right w:w="0" w:type="dxa"/>
        </w:tblCellMar>
      </w:tblPr>
      <w:tblGrid>
        <w:gridCol w:w="1670"/>
        <w:gridCol w:w="60"/>
        <w:gridCol w:w="2225"/>
        <w:gridCol w:w="60"/>
        <w:gridCol w:w="252"/>
        <w:gridCol w:w="677"/>
        <w:gridCol w:w="121"/>
        <w:gridCol w:w="121"/>
        <w:gridCol w:w="252"/>
        <w:gridCol w:w="980"/>
        <w:gridCol w:w="60"/>
        <w:gridCol w:w="60"/>
        <w:gridCol w:w="206"/>
        <w:gridCol w:w="799"/>
        <w:gridCol w:w="98"/>
        <w:gridCol w:w="98"/>
        <w:gridCol w:w="206"/>
        <w:gridCol w:w="799"/>
        <w:gridCol w:w="75"/>
      </w:tblGrid>
      <w:tr>
        <w:trPr/>
        <w:tc>
          <w:tcPr>
            <w:tcW w:w="16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03" w:type="dxa"/>
            <w:gridSpan w:val="6"/>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w:t>
              <w:b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06" w:type="dxa"/>
            <w:gridSpan w:val="6"/>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w:t>
              <w:b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cost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Classification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12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10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02" w:name="xdx_98D_ecustom--OperatingLeaseCostInclu"/>
            <w:bookmarkEnd w:id="502"/>
          </w:p>
        </w:tc>
        <w:tc>
          <w:tcPr>
            <w:tcW w:w="6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03" w:name="xdx_98A_ecustom--OperatingLeaseCostInclu"/>
            <w:bookmarkEnd w:id="503"/>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04" w:name="xdx_982_ecustom--OperatingLeaseCostInclu"/>
            <w:bookmarkEnd w:id="504"/>
          </w:p>
        </w:tc>
        <w:tc>
          <w:tcPr>
            <w:tcW w:w="7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05" w:name="xdx_98A_ecustom--OperatingLeaseCostInclu"/>
            <w:bookmarkEnd w:id="505"/>
          </w:p>
        </w:tc>
        <w:tc>
          <w:tcPr>
            <w:tcW w:w="7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06" w:name="xdx_98E_ecustom--OperatingLeaseCostInclu"/>
            <w:bookmarkEnd w:id="506"/>
          </w:p>
        </w:tc>
        <w:tc>
          <w:tcPr>
            <w:tcW w:w="6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07" w:name="xdx_98E_ecustom--OperatingLeaseCostInclu"/>
            <w:bookmarkEnd w:id="507"/>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08" w:name="xdx_986_ecustom--OperatingLeaseCostInclu"/>
            <w:bookmarkEnd w:id="508"/>
          </w:p>
        </w:tc>
        <w:tc>
          <w:tcPr>
            <w:tcW w:w="7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09" w:name="xdx_987_ecustom--OperatingLeaseCostInclu"/>
            <w:bookmarkEnd w:id="509"/>
          </w:p>
        </w:tc>
        <w:tc>
          <w:tcPr>
            <w:tcW w:w="7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10" w:name="xdx_983_ecustom--OperatingLeaseCostInclu"/>
            <w:bookmarkEnd w:id="510"/>
          </w:p>
        </w:tc>
        <w:tc>
          <w:tcPr>
            <w:tcW w:w="6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11" w:name="xdx_980_ecustom--OperatingLeaseCostInclu"/>
            <w:bookmarkEnd w:id="511"/>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12" w:name="xdx_98C_ecustom--OperatingLeaseCostInclu"/>
            <w:bookmarkEnd w:id="512"/>
          </w:p>
        </w:tc>
        <w:tc>
          <w:tcPr>
            <w:tcW w:w="7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13" w:name="xdx_983_ecustom--OperatingLeaseCostInclu"/>
            <w:bookmarkEnd w:id="513"/>
          </w:p>
        </w:tc>
        <w:tc>
          <w:tcPr>
            <w:tcW w:w="7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14" w:name="xdx_98E_ecustom--OperatingLeaseCostInclu"/>
            <w:bookmarkEnd w:id="514"/>
          </w:p>
        </w:tc>
        <w:tc>
          <w:tcPr>
            <w:tcW w:w="6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15" w:name="xdx_985_ecustom--OperatingLeaseCostInclu"/>
            <w:bookmarkEnd w:id="515"/>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16" w:name="xdx_982_ecustom--OperatingLeaseCostInclu"/>
            <w:bookmarkEnd w:id="516"/>
          </w:p>
        </w:tc>
        <w:tc>
          <w:tcPr>
            <w:tcW w:w="7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17" w:name="xdx_98F_ecustom--OperatingLeaseCostInclu"/>
            <w:bookmarkEnd w:id="517"/>
          </w:p>
        </w:tc>
        <w:tc>
          <w:tcPr>
            <w:tcW w:w="7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lease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18" w:name="xdx_981_eus-gaap--OperatingLeaseCost_pn3"/>
            <w:bookmarkEnd w:id="518"/>
          </w:p>
        </w:tc>
        <w:tc>
          <w:tcPr>
            <w:tcW w:w="6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19" w:name="xdx_98E_eus-gaap--OperatingLeaseCost_pn3"/>
            <w:bookmarkEnd w:id="519"/>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20" w:name="xdx_98C_eus-gaap--OperatingLeaseCost_pn3"/>
            <w:bookmarkEnd w:id="520"/>
          </w:p>
        </w:tc>
        <w:tc>
          <w:tcPr>
            <w:tcW w:w="7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21" w:name="xdx_984_eus-gaap--OperatingLeaseCost_pn3"/>
            <w:bookmarkEnd w:id="521"/>
          </w:p>
        </w:tc>
        <w:tc>
          <w:tcPr>
            <w:tcW w:w="7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522" w:name="xdx_8AE_z5eU1NcSdyn9"/>
      <w:bookmarkEnd w:id="52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lease costs included in the schedule above are fixed.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5 - Commitments and Contingencies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finance lease agreements for equipment to support the Company’s operations. Payments under the finance lease agreements are fixed for a term of </w:t>
      </w:r>
      <w:bookmarkStart w:id="523" w:name="xdx_904_eus-gaap--LesseeFinanceLeaseTerm"/>
      <w:bookmarkEnd w:id="523"/>
      <w:r>
        <w:rPr>
          <w:rFonts w:ascii="Times New Roman;Times;Serif" w:hAnsi="Times New Roman;Times;Serif"/>
          <w:b w:val="false"/>
          <w:i w:val="false"/>
          <w:caps w:val="false"/>
          <w:smallCaps w:val="false"/>
          <w:sz w:val="20"/>
        </w:rPr>
        <w:t>3-</w:t>
      </w:r>
      <w:bookmarkStart w:id="524" w:name="xdx_902_eus-gaap--LesseeFinanceLeaseTerm"/>
      <w:bookmarkEnd w:id="524"/>
      <w:r>
        <w:rPr>
          <w:rFonts w:ascii="Times New Roman;Times;Serif" w:hAnsi="Times New Roman;Times;Serif"/>
          <w:b w:val="false"/>
          <w:i w:val="false"/>
          <w:caps w:val="false"/>
          <w:smallCaps w:val="false"/>
          <w:sz w:val="20"/>
        </w:rPr>
        <w:t>5 years. The leased assets are recognized in property plant &amp;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5" w:name="xdx_890_ecustom--ScheduleOfBreakoutOfFin"/>
      <w:bookmarkEnd w:id="525"/>
      <w:r>
        <w:rPr>
          <w:rFonts w:ascii="Times New Roman;Times;Serif" w:hAnsi="Times New Roman;Times;Serif"/>
          <w:b w:val="false"/>
          <w:i w:val="false"/>
          <w:caps w:val="false"/>
          <w:smallCaps w:val="false"/>
          <w:sz w:val="20"/>
        </w:rPr>
        <w:t>The following table presents the breakout of the financing leases as of:</w:t>
      </w:r>
    </w:p>
    <w:p>
      <w:pPr>
        <w:pStyle w:val="TextBody"/>
        <w:bidi w:val="0"/>
        <w:spacing w:before="0" w:after="0"/>
        <w:ind w:left="0" w:right="0" w:hanging="0"/>
        <w:jc w:val="both"/>
        <w:rPr>
          <w:caps w:val="false"/>
          <w:smallCaps w:val="false"/>
        </w:rPr>
      </w:pPr>
      <w:r>
        <w:rPr>
          <w:caps w:val="false"/>
          <w:smallCaps w:val="false"/>
        </w:rPr>
        <w:t> </w:t>
      </w:r>
      <w:bookmarkStart w:id="526" w:name="xdx_8BC_zYbac93gKJw8"/>
      <w:bookmarkEnd w:id="526"/>
      <w:r>
        <w:rPr>
          <w:rFonts w:ascii="Times New Roman;Times;Serif" w:hAnsi="Times New Roman;Times;Serif"/>
          <w:b w:val="false"/>
          <w:i w:val="false"/>
          <w:caps w:val="false"/>
          <w:smallCaps w:val="false"/>
          <w:sz w:val="20"/>
        </w:rPr>
        <w:t>SCHEDULE OF BREAKOUT OF FINANCE LEASES</w:t>
      </w:r>
    </w:p>
    <w:tbl>
      <w:tblPr>
        <w:tblW w:w="6659" w:type="dxa"/>
        <w:jc w:val="left"/>
        <w:tblInd w:w="0" w:type="dxa"/>
        <w:tblLayout w:type="fixed"/>
        <w:tblCellMar>
          <w:top w:w="0" w:type="dxa"/>
          <w:left w:w="0" w:type="dxa"/>
          <w:bottom w:w="0" w:type="dxa"/>
          <w:right w:w="0" w:type="dxa"/>
        </w:tblCellMar>
      </w:tblPr>
      <w:tblGrid>
        <w:gridCol w:w="3755"/>
        <w:gridCol w:w="60"/>
        <w:gridCol w:w="140"/>
        <w:gridCol w:w="845"/>
        <w:gridCol w:w="215"/>
        <w:gridCol w:w="60"/>
        <w:gridCol w:w="299"/>
        <w:gridCol w:w="1055"/>
        <w:gridCol w:w="23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27" w:name="xdx_490_20260630_z9VDVQv0mcZe"/>
            <w:bookmarkEnd w:id="527"/>
          </w:p>
        </w:tc>
        <w:tc>
          <w:tcPr>
            <w:tcW w:w="985" w:type="dxa"/>
            <w:gridSpan w:val="2"/>
            <w:tcBorders>
              <w:bottom w:val="single" w:sz="8" w:space="0" w:color="000000"/>
            </w:tcBorders>
            <w:tcMar>
              <w:bottom w:w="28" w:type="dxa"/>
            </w:tcMar>
            <w:vAlign w:val="center"/>
          </w:tcPr>
          <w:p>
            <w:pPr>
              <w:pStyle w:val="TableContents"/>
              <w:bidi w:val="0"/>
              <w:spacing w:before="0" w:after="283"/>
              <w:jc w:val="center"/>
              <w:rPr/>
            </w:pPr>
            <w:r>
              <w:rPr/>
              <w:t>June 30,</w:t>
              <w:br/>
              <w:t>2026</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28" w:name="xdx_493_20251231_zN2XY2mwHH45"/>
            <w:bookmarkEnd w:id="528"/>
          </w:p>
        </w:tc>
        <w:tc>
          <w:tcPr>
            <w:tcW w:w="1354" w:type="dxa"/>
            <w:gridSpan w:val="2"/>
            <w:tcBorders>
              <w:bottom w:val="single" w:sz="8" w:space="0" w:color="000000"/>
            </w:tcBorders>
            <w:tcMar>
              <w:bottom w:w="28" w:type="dxa"/>
            </w:tcMar>
            <w:vAlign w:val="center"/>
          </w:tcPr>
          <w:p>
            <w:pPr>
              <w:pStyle w:val="TableContents"/>
              <w:bidi w:val="0"/>
              <w:spacing w:before="0" w:after="283"/>
              <w:jc w:val="center"/>
              <w:rPr/>
            </w:pPr>
            <w:r>
              <w:rPr/>
              <w:t>December 31,</w:t>
              <w:br/>
              <w:t>2025</w:t>
            </w:r>
          </w:p>
        </w:tc>
        <w:tc>
          <w:tcPr>
            <w:tcW w:w="230" w:type="dxa"/>
            <w:tcBorders/>
            <w:vAlign w:val="center"/>
          </w:tcPr>
          <w:p>
            <w:pPr>
              <w:pStyle w:val="TableContents"/>
              <w:bidi w:val="0"/>
              <w:spacing w:before="0" w:after="283"/>
              <w:jc w:val="center"/>
              <w:rPr/>
            </w:pPr>
            <w:r>
              <w:rPr/>
              <w:t> </w:t>
            </w:r>
            <w:bookmarkStart w:id="529" w:name="xdx_40E_eus-gaap--FinanceLeaseRightOfUse"/>
            <w:bookmarkEnd w:id="529"/>
          </w:p>
        </w:tc>
      </w:tr>
      <w:tr>
        <w:trPr/>
        <w:tc>
          <w:tcPr>
            <w:tcW w:w="3755" w:type="dxa"/>
            <w:tcBorders/>
            <w:shd w:fill="CCEEFF" w:val="clear"/>
            <w:vAlign w:val="center"/>
          </w:tcPr>
          <w:p>
            <w:pPr>
              <w:pStyle w:val="TableContents"/>
              <w:bidi w:val="0"/>
              <w:spacing w:before="0" w:after="283"/>
              <w:jc w:val="both"/>
              <w:rPr/>
            </w:pPr>
            <w:r>
              <w:rPr/>
              <w:t>Finance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67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85</w:t>
            </w:r>
          </w:p>
        </w:tc>
        <w:tc>
          <w:tcPr>
            <w:tcW w:w="230" w:type="dxa"/>
            <w:tcBorders/>
            <w:shd w:fill="CCEEFF" w:val="clear"/>
            <w:vAlign w:val="center"/>
          </w:tcPr>
          <w:p>
            <w:pPr>
              <w:pStyle w:val="TableContents"/>
              <w:bidi w:val="0"/>
              <w:spacing w:before="0" w:after="283"/>
              <w:jc w:val="left"/>
              <w:rPr/>
            </w:pPr>
            <w:r>
              <w:rPr/>
              <w:t> </w:t>
            </w:r>
            <w:bookmarkStart w:id="530" w:name="xdx_403_eus-gaap--FinanceLeaseLiabilityC"/>
            <w:bookmarkEnd w:id="530"/>
          </w:p>
        </w:tc>
      </w:tr>
      <w:tr>
        <w:trPr/>
        <w:tc>
          <w:tcPr>
            <w:tcW w:w="3755" w:type="dxa"/>
            <w:tcBorders/>
            <w:shd w:fill="FFFFFF" w:val="clear"/>
            <w:vAlign w:val="center"/>
          </w:tcPr>
          <w:p>
            <w:pPr>
              <w:pStyle w:val="TableContents"/>
              <w:bidi w:val="0"/>
              <w:spacing w:before="0" w:after="283"/>
              <w:jc w:val="both"/>
              <w:rPr/>
            </w:pPr>
            <w:r>
              <w:rPr/>
              <w:t>Short-term finance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21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35</w:t>
            </w:r>
          </w:p>
        </w:tc>
        <w:tc>
          <w:tcPr>
            <w:tcW w:w="230" w:type="dxa"/>
            <w:tcBorders/>
            <w:shd w:fill="FFFFFF" w:val="clear"/>
            <w:vAlign w:val="center"/>
          </w:tcPr>
          <w:p>
            <w:pPr>
              <w:pStyle w:val="TableContents"/>
              <w:bidi w:val="0"/>
              <w:spacing w:before="0" w:after="283"/>
              <w:jc w:val="left"/>
              <w:rPr/>
            </w:pPr>
            <w:r>
              <w:rPr/>
              <w:t> </w:t>
            </w:r>
            <w:bookmarkStart w:id="531" w:name="xdx_400_eus-gaap--FinanceLeaseLiabilityN"/>
            <w:bookmarkEnd w:id="531"/>
          </w:p>
        </w:tc>
      </w:tr>
      <w:tr>
        <w:trPr/>
        <w:tc>
          <w:tcPr>
            <w:tcW w:w="3755" w:type="dxa"/>
            <w:tcBorders/>
            <w:shd w:fill="CCEEFF" w:val="clear"/>
            <w:vAlign w:val="center"/>
          </w:tcPr>
          <w:p>
            <w:pPr>
              <w:pStyle w:val="TableContents"/>
              <w:bidi w:val="0"/>
              <w:spacing w:before="0" w:after="283"/>
              <w:jc w:val="both"/>
              <w:rPr/>
            </w:pPr>
            <w:r>
              <w:rPr/>
              <w:t>Long-term finance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18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28</w:t>
            </w:r>
          </w:p>
        </w:tc>
        <w:tc>
          <w:tcPr>
            <w:tcW w:w="230" w:type="dxa"/>
            <w:tcBorders/>
            <w:shd w:fill="CCEEFF" w:val="clear"/>
            <w:vAlign w:val="center"/>
          </w:tcPr>
          <w:p>
            <w:pPr>
              <w:pStyle w:val="TableContents"/>
              <w:bidi w:val="0"/>
              <w:spacing w:before="0" w:after="283"/>
              <w:jc w:val="left"/>
              <w:rPr/>
            </w:pPr>
            <w:r>
              <w:rPr/>
              <w:t> </w:t>
            </w:r>
            <w:bookmarkStart w:id="532" w:name="xdx_40B_eus-gaap--FinanceLeaseLiability_"/>
            <w:bookmarkEnd w:id="532"/>
          </w:p>
        </w:tc>
      </w:tr>
      <w:tr>
        <w:trPr/>
        <w:tc>
          <w:tcPr>
            <w:tcW w:w="3755" w:type="dxa"/>
            <w:tcBorders/>
            <w:shd w:fill="FFFFFF" w:val="clear"/>
            <w:vAlign w:val="center"/>
          </w:tcPr>
          <w:p>
            <w:pPr>
              <w:pStyle w:val="TableContents"/>
              <w:bidi w:val="0"/>
              <w:spacing w:before="0" w:after="283"/>
              <w:jc w:val="both"/>
              <w:rPr/>
            </w:pPr>
            <w:r>
              <w:rPr/>
              <w:t>Total finance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pPr>
            <w:r>
              <w:rPr/>
              <w:t>39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63</w:t>
            </w:r>
          </w:p>
        </w:tc>
        <w:tc>
          <w:tcPr>
            <w:tcW w:w="23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both"/>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bookmarkStart w:id="533" w:name="xdx_90C_eus-gaap--FinanceLeaseWeightedAv"/>
            <w:bookmarkEnd w:id="533"/>
            <w:r>
              <w:rPr>
                <w:rFonts w:ascii="Times New Roman;Times;Serif" w:hAnsi="Times New Roman;Times;Serif"/>
                <w:sz w:val="20"/>
              </w:rPr>
              <w:t>2.17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bookmarkStart w:id="534" w:name="xdx_90B_eus-gaap--FinanceLeaseWeightedAv"/>
            <w:bookmarkEnd w:id="534"/>
            <w:r>
              <w:rPr>
                <w:rFonts w:ascii="Times New Roman;Times;Serif" w:hAnsi="Times New Roman;Times;Serif"/>
                <w:sz w:val="20"/>
              </w:rPr>
              <w:t>2.15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both"/>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bookmarkStart w:id="535" w:name="xdx_902_eus-gaap--FinanceLeaseWeightedAv"/>
            <w:bookmarkEnd w:id="535"/>
            <w:r>
              <w:rPr/>
              <w:t>5.2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bookmarkStart w:id="536" w:name="xdx_908_eus-gaap--FinanceLeaseWeightedAv"/>
            <w:bookmarkEnd w:id="536"/>
            <w:r>
              <w:rPr/>
              <w:t>5.2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537" w:name="xdx_8A7_zKdlPE1Kp515"/>
      <w:bookmarkEnd w:id="53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our incremental borrowing rate include our implied credit rating and an estimate of secured borrowing rates based on comparable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8" w:name="xdx_894_eus-gaap--FinanceLeaseLiabilityM"/>
      <w:bookmarkEnd w:id="538"/>
      <w:r>
        <w:rPr>
          <w:rFonts w:ascii="Times New Roman;Times;Serif" w:hAnsi="Times New Roman;Times;Serif"/>
          <w:b w:val="false"/>
          <w:i w:val="false"/>
          <w:caps w:val="false"/>
          <w:smallCaps w:val="false"/>
          <w:sz w:val="20"/>
        </w:rPr>
        <w:t>At June 30, 2026, the future minimum lease payments under these financing leases are as follows:</w:t>
      </w:r>
    </w:p>
    <w:p>
      <w:pPr>
        <w:pStyle w:val="TextBody"/>
        <w:bidi w:val="0"/>
        <w:spacing w:before="0" w:after="0"/>
        <w:ind w:left="0" w:right="0" w:hanging="0"/>
        <w:jc w:val="both"/>
        <w:rPr>
          <w:caps w:val="false"/>
          <w:smallCaps w:val="false"/>
        </w:rPr>
      </w:pPr>
      <w:r>
        <w:rPr>
          <w:caps w:val="false"/>
          <w:smallCaps w:val="false"/>
        </w:rPr>
        <w:t> </w:t>
      </w:r>
      <w:bookmarkStart w:id="539" w:name="xdx_8B6_znrwsC9TQIEj"/>
      <w:bookmarkEnd w:id="539"/>
      <w:r>
        <w:rPr>
          <w:rFonts w:ascii="Times New Roman;Times;Serif" w:hAnsi="Times New Roman;Times;Serif"/>
          <w:b w:val="false"/>
          <w:i w:val="false"/>
          <w:caps w:val="false"/>
          <w:smallCaps w:val="false"/>
          <w:sz w:val="20"/>
        </w:rPr>
        <w:t>SCHEDULE OF FUTURE MINIMUM LEASE PAYMENTS UNDER FINANCE LEASES</w:t>
      </w:r>
    </w:p>
    <w:tbl>
      <w:tblPr>
        <w:tblW w:w="3435" w:type="dxa"/>
        <w:jc w:val="left"/>
        <w:tblInd w:w="0" w:type="dxa"/>
        <w:tblLayout w:type="fixed"/>
        <w:tblCellMar>
          <w:top w:w="0" w:type="dxa"/>
          <w:left w:w="0" w:type="dxa"/>
          <w:bottom w:w="28" w:type="dxa"/>
          <w:right w:w="0" w:type="dxa"/>
        </w:tblCellMar>
      </w:tblPr>
      <w:tblGrid>
        <w:gridCol w:w="2900"/>
        <w:gridCol w:w="60"/>
        <w:gridCol w:w="140"/>
        <w:gridCol w:w="260"/>
        <w:gridCol w:w="75"/>
      </w:tblGrid>
      <w:tr>
        <w:trPr/>
        <w:tc>
          <w:tcPr>
            <w:tcW w:w="2900" w:type="dxa"/>
            <w:tcBorders>
              <w:bottom w:val="single" w:sz="8" w:space="0" w:color="000000"/>
            </w:tcBorders>
            <w:vAlign w:val="center"/>
          </w:tcPr>
          <w:p>
            <w:pPr>
              <w:pStyle w:val="TableContents"/>
              <w:bidi w:val="0"/>
              <w:spacing w:before="0" w:after="283"/>
              <w:jc w:val="both"/>
              <w:rPr/>
            </w:pPr>
            <w:r>
              <w:rPr/>
              <w:t>Fiscal Years Ending</w:t>
            </w:r>
          </w:p>
        </w:tc>
        <w:tc>
          <w:tcPr>
            <w:tcW w:w="60" w:type="dxa"/>
            <w:tcBorders/>
            <w:tcMar>
              <w:bottom w:w="0" w:type="dxa"/>
            </w:tcMar>
            <w:vAlign w:val="center"/>
          </w:tcPr>
          <w:p>
            <w:pPr>
              <w:pStyle w:val="TableContents"/>
              <w:bidi w:val="0"/>
              <w:spacing w:before="0" w:after="283"/>
              <w:jc w:val="left"/>
              <w:rPr/>
            </w:pPr>
            <w:r>
              <w:rPr/>
              <w:t> </w:t>
            </w:r>
            <w:bookmarkStart w:id="540" w:name="xdx_495_20260630_zo1fY3evdLYi"/>
            <w:bookmarkEnd w:id="540"/>
          </w:p>
        </w:tc>
        <w:tc>
          <w:tcPr>
            <w:tcW w:w="40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bookmarkStart w:id="541" w:name="xdx_401_eus-gaap--FinanceLeaseLiabilityP"/>
            <w:bookmarkEnd w:id="541"/>
          </w:p>
        </w:tc>
      </w:tr>
      <w:tr>
        <w:trPr/>
        <w:tc>
          <w:tcPr>
            <w:tcW w:w="29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December 31, 2026</w:t>
            </w:r>
            <w:bookmarkStart w:id="542" w:name="xdx_F41_zBFaA27WxWnl"/>
            <w:bookmarkEnd w:id="542"/>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11</w:t>
            </w:r>
          </w:p>
        </w:tc>
        <w:tc>
          <w:tcPr>
            <w:tcW w:w="75" w:type="dxa"/>
            <w:tcBorders/>
            <w:shd w:fill="CCEEFF" w:val="clear"/>
            <w:tcMar>
              <w:bottom w:w="0" w:type="dxa"/>
            </w:tcMar>
            <w:vAlign w:val="center"/>
          </w:tcPr>
          <w:p>
            <w:pPr>
              <w:pStyle w:val="TableContents"/>
              <w:bidi w:val="0"/>
              <w:spacing w:before="0" w:after="283"/>
              <w:jc w:val="left"/>
              <w:rPr/>
            </w:pPr>
            <w:r>
              <w:rPr/>
              <w:t> </w:t>
            </w:r>
            <w:bookmarkStart w:id="543" w:name="xdx_408_eus-gaap--FinanceLeaseLiabilityP"/>
            <w:bookmarkEnd w:id="543"/>
          </w:p>
        </w:tc>
      </w:tr>
      <w:tr>
        <w:trPr/>
        <w:tc>
          <w:tcPr>
            <w:tcW w:w="2900" w:type="dxa"/>
            <w:tcBorders/>
            <w:shd w:fill="FFFFFF" w:val="clear"/>
            <w:tcMar>
              <w:bottom w:w="0" w:type="dxa"/>
            </w:tcMar>
            <w:vAlign w:val="center"/>
          </w:tcPr>
          <w:p>
            <w:pPr>
              <w:pStyle w:val="TableContents"/>
              <w:bidi w:val="0"/>
              <w:spacing w:before="0" w:after="283"/>
              <w:jc w:val="both"/>
              <w:rPr/>
            </w:pPr>
            <w:r>
              <w:rPr/>
              <w:t>December 31,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right"/>
              <w:rPr/>
            </w:pPr>
            <w:r>
              <w:rPr/>
              <w:t>18</w:t>
            </w:r>
          </w:p>
        </w:tc>
        <w:tc>
          <w:tcPr>
            <w:tcW w:w="75" w:type="dxa"/>
            <w:tcBorders/>
            <w:shd w:fill="FFFFFF" w:val="clear"/>
            <w:tcMar>
              <w:bottom w:w="0" w:type="dxa"/>
            </w:tcMar>
            <w:vAlign w:val="center"/>
          </w:tcPr>
          <w:p>
            <w:pPr>
              <w:pStyle w:val="TableContents"/>
              <w:bidi w:val="0"/>
              <w:spacing w:before="0" w:after="283"/>
              <w:jc w:val="left"/>
              <w:rPr/>
            </w:pPr>
            <w:r>
              <w:rPr/>
              <w:t> </w:t>
            </w:r>
            <w:bookmarkStart w:id="544" w:name="xdx_404_eus-gaap--FinanceLeaseLiabilityP"/>
            <w:bookmarkEnd w:id="544"/>
          </w:p>
        </w:tc>
      </w:tr>
      <w:tr>
        <w:trPr/>
        <w:tc>
          <w:tcPr>
            <w:tcW w:w="2900" w:type="dxa"/>
            <w:tcBorders/>
            <w:shd w:fill="CCEEFF" w:val="clear"/>
            <w:tcMar>
              <w:bottom w:w="0" w:type="dxa"/>
            </w:tcMar>
            <w:vAlign w:val="center"/>
          </w:tcPr>
          <w:p>
            <w:pPr>
              <w:pStyle w:val="TableContents"/>
              <w:bidi w:val="0"/>
              <w:spacing w:before="0" w:after="283"/>
              <w:jc w:val="both"/>
              <w:rPr/>
            </w:pPr>
            <w:r>
              <w:rPr/>
              <w:t>December 31, 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right"/>
              <w:rPr/>
            </w:pPr>
            <w:r>
              <w:rPr/>
              <w:t>9</w:t>
            </w:r>
          </w:p>
        </w:tc>
        <w:tc>
          <w:tcPr>
            <w:tcW w:w="75" w:type="dxa"/>
            <w:tcBorders/>
            <w:shd w:fill="CCEEFF" w:val="clear"/>
            <w:tcMar>
              <w:bottom w:w="0" w:type="dxa"/>
            </w:tcMar>
            <w:vAlign w:val="center"/>
          </w:tcPr>
          <w:p>
            <w:pPr>
              <w:pStyle w:val="TableContents"/>
              <w:bidi w:val="0"/>
              <w:spacing w:before="0" w:after="283"/>
              <w:jc w:val="left"/>
              <w:rPr/>
            </w:pPr>
            <w:r>
              <w:rPr/>
              <w:t> </w:t>
            </w:r>
            <w:bookmarkStart w:id="545" w:name="xdx_404_eus-gaap--FinanceLeaseLiabilityP"/>
            <w:bookmarkEnd w:id="545"/>
          </w:p>
        </w:tc>
      </w:tr>
      <w:tr>
        <w:trPr/>
        <w:tc>
          <w:tcPr>
            <w:tcW w:w="2900" w:type="dxa"/>
            <w:tcBorders/>
            <w:shd w:fill="FFFFFF" w:val="clear"/>
            <w:tcMar>
              <w:bottom w:w="0" w:type="dxa"/>
            </w:tcMar>
            <w:vAlign w:val="center"/>
          </w:tcPr>
          <w:p>
            <w:pPr>
              <w:pStyle w:val="TableContents"/>
              <w:bidi w:val="0"/>
              <w:spacing w:before="0" w:after="283"/>
              <w:jc w:val="both"/>
              <w:rPr/>
            </w:pPr>
            <w:r>
              <w:rPr/>
              <w:t>December 31, 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vAlign w:val="center"/>
          </w:tcPr>
          <w:p>
            <w:pPr>
              <w:pStyle w:val="TableContents"/>
              <w:bidi w:val="0"/>
              <w:spacing w:before="0" w:after="283"/>
              <w:jc w:val="right"/>
              <w:rPr/>
            </w:pPr>
            <w:r>
              <w:rPr/>
              <w:t>3</w:t>
            </w:r>
          </w:p>
        </w:tc>
        <w:tc>
          <w:tcPr>
            <w:tcW w:w="75" w:type="dxa"/>
            <w:tcBorders/>
            <w:shd w:fill="FFFFFF" w:val="clear"/>
            <w:tcMar>
              <w:bottom w:w="0" w:type="dxa"/>
            </w:tcMar>
            <w:vAlign w:val="center"/>
          </w:tcPr>
          <w:p>
            <w:pPr>
              <w:pStyle w:val="TableContents"/>
              <w:bidi w:val="0"/>
              <w:spacing w:before="0" w:after="283"/>
              <w:jc w:val="left"/>
              <w:rPr/>
            </w:pPr>
            <w:r>
              <w:rPr/>
              <w:t> </w:t>
            </w:r>
            <w:bookmarkStart w:id="546" w:name="xdx_404_eus-gaap--FinanceLeaseLiabilityP"/>
            <w:bookmarkEnd w:id="546"/>
          </w:p>
        </w:tc>
      </w:tr>
      <w:tr>
        <w:trPr/>
        <w:tc>
          <w:tcPr>
            <w:tcW w:w="2900" w:type="dxa"/>
            <w:tcBorders/>
            <w:shd w:fill="CCEEFF" w:val="clear"/>
            <w:tcMar>
              <w:bottom w:w="0" w:type="dxa"/>
            </w:tcMar>
            <w:vAlign w:val="center"/>
          </w:tcPr>
          <w:p>
            <w:pPr>
              <w:pStyle w:val="TableContents"/>
              <w:bidi w:val="0"/>
              <w:spacing w:before="0" w:after="283"/>
              <w:jc w:val="both"/>
              <w:rPr/>
            </w:pPr>
            <w:r>
              <w:rPr/>
              <w:t>Total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right"/>
              <w:rPr/>
            </w:pPr>
            <w:r>
              <w:rPr/>
              <w:t>41</w:t>
            </w:r>
          </w:p>
        </w:tc>
        <w:tc>
          <w:tcPr>
            <w:tcW w:w="75" w:type="dxa"/>
            <w:tcBorders/>
            <w:shd w:fill="CCEEFF" w:val="clear"/>
            <w:tcMar>
              <w:bottom w:w="0" w:type="dxa"/>
            </w:tcMar>
            <w:vAlign w:val="center"/>
          </w:tcPr>
          <w:p>
            <w:pPr>
              <w:pStyle w:val="TableContents"/>
              <w:bidi w:val="0"/>
              <w:spacing w:before="0" w:after="283"/>
              <w:jc w:val="left"/>
              <w:rPr/>
            </w:pPr>
            <w:r>
              <w:rPr/>
              <w:t> </w:t>
            </w:r>
            <w:bookmarkStart w:id="547" w:name="xdx_40E_eus-gaap--FinanceLeaseLiabilityU"/>
            <w:bookmarkEnd w:id="547"/>
          </w:p>
        </w:tc>
      </w:tr>
      <w:tr>
        <w:trPr/>
        <w:tc>
          <w:tcPr>
            <w:tcW w:w="2900" w:type="dxa"/>
            <w:tcBorders/>
            <w:shd w:fill="FFFFFF" w:val="clear"/>
            <w:tcMar>
              <w:bottom w:w="0" w:type="dxa"/>
            </w:tcMar>
            <w:vAlign w:val="center"/>
          </w:tcPr>
          <w:p>
            <w:pPr>
              <w:pStyle w:val="TableContents"/>
              <w:bidi w:val="0"/>
              <w:spacing w:before="0" w:after="283"/>
              <w:jc w:val="both"/>
              <w:rPr/>
            </w:pPr>
            <w:r>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vAlign w:val="center"/>
          </w:tcPr>
          <w:p>
            <w:pPr>
              <w:pStyle w:val="TableContents"/>
              <w:bidi w:val="0"/>
              <w:spacing w:before="0" w:after="283"/>
              <w:jc w:val="right"/>
              <w:rPr/>
            </w:pPr>
            <w:r>
              <w:rPr/>
              <w:t>2</w:t>
            </w:r>
          </w:p>
        </w:tc>
        <w:tc>
          <w:tcPr>
            <w:tcW w:w="75" w:type="dxa"/>
            <w:tcBorders/>
            <w:shd w:fill="FFFFFF" w:val="clear"/>
            <w:tcMar>
              <w:bottom w:w="0" w:type="dxa"/>
            </w:tcMar>
            <w:vAlign w:val="center"/>
          </w:tcPr>
          <w:p>
            <w:pPr>
              <w:pStyle w:val="TableContents"/>
              <w:bidi w:val="0"/>
              <w:spacing w:before="0" w:after="283"/>
              <w:jc w:val="left"/>
              <w:rPr/>
            </w:pPr>
            <w:r>
              <w:rPr/>
              <w:t> </w:t>
            </w:r>
            <w:bookmarkStart w:id="548" w:name="xdx_406_eus-gaap--FinanceLeaseLiability_"/>
            <w:bookmarkEnd w:id="548"/>
          </w:p>
        </w:tc>
      </w:tr>
      <w:tr>
        <w:trPr/>
        <w:tc>
          <w:tcPr>
            <w:tcW w:w="2900" w:type="dxa"/>
            <w:tcBorders/>
            <w:shd w:fill="CCEEFF" w:val="clear"/>
            <w:tcMar>
              <w:bottom w:w="0" w:type="dxa"/>
            </w:tcMar>
            <w:vAlign w:val="center"/>
          </w:tcPr>
          <w:p>
            <w:pPr>
              <w:pStyle w:val="TableContents"/>
              <w:bidi w:val="0"/>
              <w:spacing w:before="0" w:after="283"/>
              <w:jc w:val="both"/>
              <w:rPr/>
            </w:pPr>
            <w:r>
              <w:rPr/>
              <w:t>Total financing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260" w:type="dxa"/>
            <w:tcBorders>
              <w:bottom w:val="double" w:sz="6" w:space="0" w:color="000000"/>
            </w:tcBorders>
            <w:shd w:fill="CCEEFF" w:val="clear"/>
            <w:vAlign w:val="center"/>
          </w:tcPr>
          <w:p>
            <w:pPr>
              <w:pStyle w:val="TableContents"/>
              <w:bidi w:val="0"/>
              <w:spacing w:before="0" w:after="283"/>
              <w:jc w:val="right"/>
              <w:rPr/>
            </w:pPr>
            <w:r>
              <w:rPr/>
              <w:t>39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260"/>
        <w:gridCol w:w="7775"/>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549" w:name="xdx_F0E_zbIPrea6RwYd"/>
            <w:bookmarkEnd w:id="549"/>
            <w:r>
              <w:rPr>
                <w:rFonts w:ascii="Times New Roman;Times;Serif" w:hAnsi="Times New Roman;Times;Serif"/>
                <w:sz w:val="20"/>
              </w:rPr>
              <w:t>(1)</w:t>
            </w:r>
          </w:p>
        </w:tc>
        <w:tc>
          <w:tcPr>
            <w:tcW w:w="7775" w:type="dxa"/>
            <w:tcBorders/>
            <w:vAlign w:val="center"/>
          </w:tcPr>
          <w:p>
            <w:pPr>
              <w:pStyle w:val="TableContents"/>
              <w:bidi w:val="0"/>
              <w:spacing w:before="0" w:after="283"/>
              <w:jc w:val="both"/>
              <w:rPr>
                <w:rFonts w:ascii="Times New Roman;Times;Serif" w:hAnsi="Times New Roman;Times;Serif"/>
                <w:sz w:val="20"/>
              </w:rPr>
            </w:pPr>
            <w:bookmarkStart w:id="550" w:name="xdx_F14_zGAxBX1u1dQk"/>
            <w:bookmarkEnd w:id="550"/>
            <w:r>
              <w:rPr>
                <w:rFonts w:ascii="Times New Roman;Times;Serif" w:hAnsi="Times New Roman;Times;Serif"/>
                <w:sz w:val="20"/>
              </w:rPr>
              <w:t>Represents scheduled payments for the remaining six-month period ending December 31, 2026.</w:t>
            </w:r>
          </w:p>
        </w:tc>
      </w:tr>
    </w:tbl>
    <w:p>
      <w:pPr>
        <w:pStyle w:val="TextBody"/>
        <w:bidi w:val="0"/>
        <w:spacing w:before="0" w:after="0"/>
        <w:ind w:left="0" w:right="0" w:hanging="0"/>
        <w:jc w:val="both"/>
        <w:rPr>
          <w:caps w:val="false"/>
          <w:smallCaps w:val="false"/>
        </w:rPr>
      </w:pPr>
      <w:bookmarkStart w:id="551" w:name="xdx_8AB_ztF0soxJzNgf"/>
      <w:bookmarkEnd w:id="551"/>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agreed to pay LithiumHub a total of $</w:t>
      </w:r>
      <w:bookmarkStart w:id="552" w:name="xdx_90D_eus-gaap--ContractualObligation_"/>
      <w:bookmarkEnd w:id="552"/>
      <w:r>
        <w:rPr>
          <w:rFonts w:ascii="Times New Roman;Times;Serif" w:hAnsi="Times New Roman;Times;Serif"/>
          <w:b w:val="false"/>
          <w:i w:val="false"/>
          <w:caps w:val="false"/>
          <w:smallCaps w:val="false"/>
          <w:sz w:val="20"/>
        </w:rPr>
        <w:t>2,500, of which approximately $</w:t>
      </w:r>
      <w:bookmarkStart w:id="553" w:name="xdx_906_eus-gaap--ContractualObligationF"/>
      <w:bookmarkEnd w:id="553"/>
      <w:r>
        <w:rPr>
          <w:rFonts w:ascii="Times New Roman;Times;Serif" w:hAnsi="Times New Roman;Times;Serif"/>
          <w:b w:val="false"/>
          <w:i w:val="false"/>
          <w:caps w:val="false"/>
          <w:smallCaps w:val="false"/>
          <w:sz w:val="20"/>
        </w:rPr>
        <w:t>562 is payable in 2025 and approximately $</w:t>
      </w:r>
      <w:bookmarkStart w:id="554" w:name="xdx_904_eus-gaap--ContractualObligationD"/>
      <w:bookmarkEnd w:id="554"/>
      <w:r>
        <w:rPr>
          <w:rFonts w:ascii="Times New Roman;Times;Serif" w:hAnsi="Times New Roman;Times;Serif"/>
          <w:b w:val="false"/>
          <w:i w:val="false"/>
          <w:caps w:val="false"/>
          <w:smallCaps w:val="false"/>
          <w:sz w:val="20"/>
        </w:rPr>
        <w:t>1,938 is payable in 2026, in exchange for a non-exclusive license in LithiumHub Technologies, LLC’s patent rights related to the Patents-in-Suit. In accordance with the Settlement Agreement, the Company and LithiumHub terminated the ongoing patent litigation between them. The Settlement Agreement includes no admission of infringement by the Company. On October 22, 2025, the Company paid the settlement amount in full.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5 - Commitments and Contingencies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Contingencies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2026, the United States Supreme Court issued a decision invalidating tariffs imposed under the International Emergency Economic Powers Act (“IEEPA”). In March 2026, the U.S. Court of International Trade issued an additional ruling stating that importers that have paid tariffs under IEEPA are due refunds. The Company began to receive tariff refunds in the second quarter of fiscal 2026, and as of June 30, 2026, has received refunds of $</w:t>
      </w:r>
      <w:bookmarkStart w:id="555" w:name="xdx_90E_eus-gaap--ProceedsFromDepositsWi"/>
      <w:bookmarkEnd w:id="555"/>
      <w:r>
        <w:rPr>
          <w:rFonts w:ascii="Times New Roman;Times;Serif" w:hAnsi="Times New Roman;Times;Serif"/>
          <w:b w:val="false"/>
          <w:i w:val="false"/>
          <w:caps w:val="false"/>
          <w:smallCaps w:val="false"/>
          <w:sz w:val="20"/>
        </w:rPr>
        <w:t>810, inclusive of an immaterial amount of interest. As of June 30, 2026, the Company recognized an additional $</w:t>
      </w:r>
      <w:bookmarkStart w:id="556" w:name="xdx_900_eus-gaap--ProceedsFromDepositsWi"/>
      <w:bookmarkEnd w:id="556"/>
      <w:r>
        <w:rPr>
          <w:rFonts w:ascii="Times New Roman;Times;Serif" w:hAnsi="Times New Roman;Times;Serif"/>
          <w:b w:val="false"/>
          <w:i w:val="false"/>
          <w:caps w:val="false"/>
          <w:smallCaps w:val="false"/>
          <w:sz w:val="20"/>
        </w:rPr>
        <w:t>332 as a receivable included in other current assets, which was received subsequent to June 30, 2026. For the six months ended June 30, 2026, $</w:t>
      </w:r>
      <w:bookmarkStart w:id="557" w:name="xdx_906_eus-gaap--ProceedsFromSaleOfProd"/>
      <w:bookmarkEnd w:id="557"/>
      <w:r>
        <w:rPr>
          <w:rFonts w:ascii="Times New Roman;Times;Serif" w:hAnsi="Times New Roman;Times;Serif"/>
          <w:b w:val="false"/>
          <w:i w:val="false"/>
          <w:caps w:val="false"/>
          <w:smallCaps w:val="false"/>
          <w:sz w:val="20"/>
        </w:rPr>
        <w:t>1,092 of the tariff refund related to product sales was recognized as a reduction in cost of sales. The Company continues to monitor developments and assess the potential impact on its consolidated financial statements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558" w:name="xdx_806_eus-gaap--DebtDisclosureTextBloc"/>
      <w:bookmarkEnd w:id="558"/>
      <w:r>
        <w:rPr>
          <w:rFonts w:ascii="Times New Roman;Times;Serif" w:hAnsi="Times New Roman;Times;Serif"/>
          <w:b/>
          <w:i w:val="false"/>
          <w:caps/>
          <w:sz w:val="20"/>
        </w:rPr>
        <w:t xml:space="preserve">Note 6 - </w:t>
      </w:r>
      <w:bookmarkStart w:id="559" w:name="xdx_82A_zQAa1v3fWYJl"/>
      <w:bookmarkEnd w:id="559"/>
      <w:r>
        <w:rPr>
          <w:rFonts w:ascii="Times New Roman;Times;Serif" w:hAnsi="Times New Roman;Times;Serif"/>
          <w:b/>
          <w:i w:val="false"/>
          <w:caps/>
          <w:sz w:val="20"/>
        </w:rPr>
        <w:t>LONG TERM DEBT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Company had an outstanding term loan (the “Term Loan”) under a Term Loan, Guarantee and Security Agreement (the “Term Loan Agreement”), dated October 7, 2022, with EICF Agent LLC, as agent, and certain lenders. As amended, the Term Loan matures on </w:t>
      </w:r>
      <w:bookmarkStart w:id="560" w:name="xdx_90C_eus-gaap--DebtInstrumentMaturity"/>
      <w:bookmarkEnd w:id="560"/>
      <w:r>
        <w:rPr>
          <w:rFonts w:ascii="Times New Roman;Times;Serif" w:hAnsi="Times New Roman;Times;Serif"/>
          <w:b w:val="false"/>
          <w:i w:val="false"/>
          <w:caps w:val="false"/>
          <w:smallCaps w:val="false"/>
          <w:sz w:val="20"/>
        </w:rPr>
        <w:t xml:space="preserve">October 7, 2027 and requires monthly installments based on </w:t>
      </w:r>
      <w:bookmarkStart w:id="561" w:name="xdx_903_ecustom--DebtInstrumentPaymentPe"/>
      <w:bookmarkEnd w:id="561"/>
      <w:r>
        <w:rPr>
          <w:rFonts w:ascii="Times New Roman;Times;Serif" w:hAnsi="Times New Roman;Times;Serif"/>
          <w:b w:val="false"/>
          <w:i w:val="false"/>
          <w:caps w:val="false"/>
          <w:smallCaps w:val="false"/>
          <w:sz w:val="20"/>
        </w:rPr>
        <w:t>0.4167% of the principal amount of Term Loans outstanding beginning December 1, 2025. The obligations under the Term Loan Agreement are secured by a first priority lien on substantially all of the Company’s assets, including certain mortgaged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any amendments, the Term Loan accrued interest based on the Company’s senior leverage ratio. From inception through September 30, 2024, interest accrued at a per annum rate equal to adjusted SOFR (subject to a floor of 1.0%) plus </w:t>
      </w:r>
      <w:bookmarkStart w:id="562" w:name="xdx_90B_ecustom--DebtInstrumentBasisSpre"/>
      <w:bookmarkEnd w:id="562"/>
      <w:r>
        <w:rPr>
          <w:rFonts w:ascii="Times New Roman;Times;Serif" w:hAnsi="Times New Roman;Times;Serif"/>
          <w:b w:val="false"/>
          <w:i w:val="false"/>
          <w:caps w:val="false"/>
          <w:smallCaps w:val="false"/>
          <w:sz w:val="20"/>
        </w:rPr>
        <w:t xml:space="preserve">7.0% payable in cash, plus an additional </w:t>
      </w:r>
      <w:bookmarkStart w:id="563" w:name="xdx_90B_ecustom--DebtInstrumentBasisSpre"/>
      <w:bookmarkEnd w:id="563"/>
      <w:r>
        <w:rPr>
          <w:rFonts w:ascii="Times New Roman;Times;Serif" w:hAnsi="Times New Roman;Times;Serif"/>
          <w:b w:val="false"/>
          <w:i w:val="false"/>
          <w:caps w:val="false"/>
          <w:smallCaps w:val="false"/>
          <w:sz w:val="20"/>
        </w:rPr>
        <w:t xml:space="preserve">4.5% to </w:t>
      </w:r>
      <w:bookmarkStart w:id="564" w:name="xdx_901_ecustom--DebtInstrumentBasisSpre"/>
      <w:bookmarkEnd w:id="564"/>
      <w:r>
        <w:rPr>
          <w:rFonts w:ascii="Times New Roman;Times;Serif" w:hAnsi="Times New Roman;Times;Serif"/>
          <w:b w:val="false"/>
          <w:i w:val="false"/>
          <w:caps w:val="false"/>
          <w:smallCaps w:val="false"/>
          <w:sz w:val="20"/>
        </w:rPr>
        <w:t>6.5% payable in kind (“PIK”), depending on the Company’s senior leverage ratio. Effective April 1, 2024, interest payable to lenders subject to the regulations of the U.S. Small Business Administration (with $</w:t>
      </w:r>
      <w:bookmarkStart w:id="565" w:name="xdx_900_eus-gaap--DebtInstrumentFaceAmou"/>
      <w:bookmarkEnd w:id="565"/>
      <w:r>
        <w:rPr>
          <w:rFonts w:ascii="Times New Roman;Times;Serif" w:hAnsi="Times New Roman;Times;Serif"/>
          <w:b w:val="false"/>
          <w:i w:val="false"/>
          <w:caps w:val="false"/>
          <w:smallCaps w:val="false"/>
          <w:sz w:val="20"/>
        </w:rPr>
        <w:t xml:space="preserve">30,846 of principal outstanding as of that date) was limited to </w:t>
      </w:r>
      <w:bookmarkStart w:id="566" w:name="xdx_907_eus-gaap--DebtInstrumentInterest"/>
      <w:bookmarkEnd w:id="566"/>
      <w:r>
        <w:rPr>
          <w:rFonts w:ascii="Times New Roman;Times;Serif" w:hAnsi="Times New Roman;Times;Serif"/>
          <w:b w:val="false"/>
          <w:i w:val="false"/>
          <w:caps w:val="false"/>
          <w:smallCaps w:val="false"/>
          <w:sz w:val="20"/>
        </w:rPr>
        <w:t xml:space="preserve">14.0% per annum, excluding default interest permitted under applicable SBA regulations. From October 1, 2024 through March 31, 2025, interest on the non SBA regulated portion continued to accrue at adjusted SOFR plus </w:t>
      </w:r>
      <w:bookmarkStart w:id="567" w:name="xdx_90E_ecustom--DebtInstrumentBasisSpre"/>
      <w:bookmarkEnd w:id="567"/>
      <w:r>
        <w:rPr>
          <w:rFonts w:ascii="Times New Roman;Times;Serif" w:hAnsi="Times New Roman;Times;Serif"/>
          <w:b w:val="false"/>
          <w:i w:val="false"/>
          <w:caps w:val="false"/>
          <w:smallCaps w:val="false"/>
          <w:sz w:val="20"/>
        </w:rPr>
        <w:t xml:space="preserve">7.0% payable in cash, and </w:t>
      </w:r>
      <w:bookmarkStart w:id="568" w:name="xdx_909_ecustom--DebtInstrumentBasisSpre"/>
      <w:bookmarkEnd w:id="568"/>
      <w:r>
        <w:rPr>
          <w:rFonts w:ascii="Times New Roman;Times;Serif" w:hAnsi="Times New Roman;Times;Serif"/>
          <w:b w:val="false"/>
          <w:i w:val="false"/>
          <w:caps w:val="false"/>
          <w:smallCaps w:val="false"/>
          <w:sz w:val="20"/>
        </w:rPr>
        <w:t xml:space="preserve">4.5% to </w:t>
      </w:r>
      <w:bookmarkStart w:id="569" w:name="xdx_901_ecustom--DebtInstrumentBasisSpre"/>
      <w:bookmarkEnd w:id="569"/>
      <w:r>
        <w:rPr>
          <w:rFonts w:ascii="Times New Roman;Times;Serif" w:hAnsi="Times New Roman;Times;Serif"/>
          <w:b w:val="false"/>
          <w:i w:val="false"/>
          <w:caps w:val="false"/>
          <w:smallCaps w:val="false"/>
          <w:sz w:val="20"/>
        </w:rPr>
        <w:t xml:space="preserve">6.5% payable in kind. Beginning April 1, 2025, interest on all outstanding balances will be payable entirely in cash, at a rate equal to adjusted SOFR plus a margin ranging from </w:t>
      </w:r>
      <w:bookmarkStart w:id="570" w:name="xdx_908_ecustom--DebtInstrumentBasisSpre"/>
      <w:bookmarkEnd w:id="570"/>
      <w:r>
        <w:rPr>
          <w:rFonts w:ascii="Times New Roman;Times;Serif" w:hAnsi="Times New Roman;Times;Serif"/>
          <w:b w:val="false"/>
          <w:i w:val="false"/>
          <w:caps w:val="false"/>
          <w:smallCaps w:val="false"/>
          <w:sz w:val="20"/>
        </w:rPr>
        <w:t xml:space="preserve">11.5% to </w:t>
      </w:r>
      <w:bookmarkStart w:id="571" w:name="xdx_904_ecustom--DebtInstrumentBasisSpre"/>
      <w:bookmarkEnd w:id="571"/>
      <w:r>
        <w:rPr>
          <w:rFonts w:ascii="Times New Roman;Times;Serif" w:hAnsi="Times New Roman;Times;Serif"/>
          <w:b w:val="false"/>
          <w:i w:val="false"/>
          <w:caps w:val="false"/>
          <w:smallCaps w:val="false"/>
          <w:sz w:val="20"/>
        </w:rPr>
        <w:t xml:space="preserve">13.5%, depending on the Company’s senior leverage ratio. Effective October 20, 2025, the Term Loan was amended to adjust the fixed interest rate of the remaining outstanding principal amount under the Term Loan Agreement to a fixed interest rate of </w:t>
      </w:r>
      <w:bookmarkStart w:id="572" w:name="xdx_907_eus-gaap--DebtInstrumentInterest"/>
      <w:bookmarkEnd w:id="572"/>
      <w:r>
        <w:rPr>
          <w:rFonts w:ascii="Times New Roman;Times;Serif" w:hAnsi="Times New Roman;Times;Serif"/>
          <w:b w:val="false"/>
          <w:i w:val="false"/>
          <w:caps w:val="false"/>
          <w:smallCaps w:val="false"/>
          <w:sz w:val="20"/>
        </w:rPr>
        <w:t>12% per annum, payable monthly commencing December 31, 2025 that will mature in October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and 2025, the Company recognized interest expense of $</w:t>
      </w:r>
      <w:bookmarkStart w:id="573" w:name="xdx_90B_eus-gaap--InterestExpenseDebtExc"/>
      <w:bookmarkEnd w:id="573"/>
      <w:r>
        <w:rPr>
          <w:rFonts w:ascii="Times New Roman;Times;Serif" w:hAnsi="Times New Roman;Times;Serif"/>
          <w:b w:val="false"/>
          <w:i w:val="false"/>
          <w:caps w:val="false"/>
          <w:smallCaps w:val="false"/>
          <w:sz w:val="20"/>
        </w:rPr>
        <w:t>575 and $</w:t>
      </w:r>
      <w:bookmarkStart w:id="574" w:name="xdx_909_eus-gaap--InterestExpenseDebtExc"/>
      <w:bookmarkEnd w:id="574"/>
      <w:r>
        <w:rPr>
          <w:rFonts w:ascii="Times New Roman;Times;Serif" w:hAnsi="Times New Roman;Times;Serif"/>
          <w:b w:val="false"/>
          <w:i w:val="false"/>
          <w:caps w:val="false"/>
          <w:smallCaps w:val="false"/>
          <w:sz w:val="20"/>
        </w:rPr>
        <w:t>3,728, respectively. During the six months ended June 30, 2026 and 2025, the Company recognized interest expense of $</w:t>
      </w:r>
      <w:bookmarkStart w:id="575" w:name="xdx_905_eus-gaap--InterestExpenseDebtExc"/>
      <w:bookmarkEnd w:id="575"/>
      <w:r>
        <w:rPr>
          <w:rFonts w:ascii="Times New Roman;Times;Serif" w:hAnsi="Times New Roman;Times;Serif"/>
          <w:b w:val="false"/>
          <w:i w:val="false"/>
          <w:caps w:val="false"/>
          <w:smallCaps w:val="false"/>
          <w:sz w:val="20"/>
        </w:rPr>
        <w:t>1,150 and $</w:t>
      </w:r>
      <w:bookmarkStart w:id="576" w:name="xdx_904_eus-gaap--InterestExpenseDebtExc"/>
      <w:bookmarkEnd w:id="576"/>
      <w:r>
        <w:rPr>
          <w:rFonts w:ascii="Times New Roman;Times;Serif" w:hAnsi="Times New Roman;Times;Serif"/>
          <w:b w:val="false"/>
          <w:i w:val="false"/>
          <w:caps w:val="false"/>
          <w:smallCaps w:val="false"/>
          <w:sz w:val="20"/>
        </w:rPr>
        <w:t>7,307, respectively. Amortization of the debt issuance costs amounted to $</w:t>
      </w:r>
      <w:bookmarkStart w:id="577" w:name="xdx_90D_eus-gaap--AmortizationOfFinancin"/>
      <w:bookmarkEnd w:id="577"/>
      <w:r>
        <w:rPr>
          <w:rFonts w:ascii="Times New Roman;Times;Serif" w:hAnsi="Times New Roman;Times;Serif"/>
          <w:b w:val="false"/>
          <w:i w:val="false"/>
          <w:caps w:val="false"/>
          <w:smallCaps w:val="false"/>
          <w:sz w:val="20"/>
        </w:rPr>
        <w:t>1,032 and $</w:t>
      </w:r>
      <w:bookmarkStart w:id="578" w:name="xdx_906_eus-gaap--AmortizationOfFinancin"/>
      <w:bookmarkEnd w:id="578"/>
      <w:r>
        <w:rPr>
          <w:rFonts w:ascii="Times New Roman;Times;Serif" w:hAnsi="Times New Roman;Times;Serif"/>
          <w:b w:val="false"/>
          <w:i w:val="false"/>
          <w:caps w:val="false"/>
          <w:smallCaps w:val="false"/>
          <w:sz w:val="20"/>
        </w:rPr>
        <w:t>1,689, respectively, for the three months ended June 30, 2026 and 2025. Amortization of the debt issuance costs amounted to $</w:t>
      </w:r>
      <w:bookmarkStart w:id="579" w:name="xdx_90A_eus-gaap--AmortizationOfFinancin"/>
      <w:bookmarkEnd w:id="579"/>
      <w:r>
        <w:rPr>
          <w:rFonts w:ascii="Times New Roman;Times;Serif" w:hAnsi="Times New Roman;Times;Serif"/>
          <w:b w:val="false"/>
          <w:i w:val="false"/>
          <w:caps w:val="false"/>
          <w:smallCaps w:val="false"/>
          <w:sz w:val="20"/>
        </w:rPr>
        <w:t>1,953 and $</w:t>
      </w:r>
      <w:bookmarkStart w:id="580" w:name="xdx_906_eus-gaap--AmortizationOfFinancin"/>
      <w:bookmarkEnd w:id="580"/>
      <w:r>
        <w:rPr>
          <w:rFonts w:ascii="Times New Roman;Times;Serif" w:hAnsi="Times New Roman;Times;Serif"/>
          <w:b w:val="false"/>
          <w:i w:val="false"/>
          <w:caps w:val="false"/>
          <w:smallCaps w:val="false"/>
          <w:sz w:val="20"/>
        </w:rPr>
        <w:t>2,784, respectively, for the six months ended June 30, 2026 and 2025. As of June 30, 2026, the carrying value of the Term Loan was $</w:t>
      </w:r>
      <w:bookmarkStart w:id="581" w:name="xdx_90F_eus-gaap--LongTermDebt_iI_pn3n3_"/>
      <w:bookmarkEnd w:id="581"/>
      <w:r>
        <w:rPr>
          <w:rFonts w:ascii="Times New Roman;Times;Serif" w:hAnsi="Times New Roman;Times;Serif"/>
          <w:b w:val="false"/>
          <w:i w:val="false"/>
          <w:caps w:val="false"/>
          <w:smallCaps w:val="false"/>
          <w:sz w:val="20"/>
        </w:rPr>
        <w:t>11,120, consisting of $</w:t>
      </w:r>
      <w:bookmarkStart w:id="582" w:name="xdx_906_eus-gaap--DebtInstrumentFaceAmou"/>
      <w:bookmarkEnd w:id="582"/>
      <w:r>
        <w:rPr>
          <w:rFonts w:ascii="Times New Roman;Times;Serif" w:hAnsi="Times New Roman;Times;Serif"/>
          <w:b w:val="false"/>
          <w:i w:val="false"/>
          <w:caps w:val="false"/>
          <w:smallCaps w:val="false"/>
          <w:sz w:val="20"/>
        </w:rPr>
        <w:t>18,866 in principal net of $</w:t>
      </w:r>
      <w:bookmarkStart w:id="583" w:name="xdx_903_eus-gaap--DebtInstrumentUnamorti"/>
      <w:bookmarkEnd w:id="583"/>
      <w:r>
        <w:rPr>
          <w:rFonts w:ascii="Times New Roman;Times;Serif" w:hAnsi="Times New Roman;Times;Serif"/>
          <w:b w:val="false"/>
          <w:i w:val="false"/>
          <w:caps w:val="false"/>
          <w:smallCaps w:val="false"/>
          <w:sz w:val="20"/>
        </w:rPr>
        <w:t>7,746 in unamortized debt discount. As of December 31, 2025, the carrying value of the Term Loan was $</w:t>
      </w:r>
      <w:bookmarkStart w:id="584" w:name="xdx_90E_eus-gaap--LongTermDebt_iI_pn3n3_"/>
      <w:bookmarkEnd w:id="584"/>
      <w:r>
        <w:rPr>
          <w:rFonts w:ascii="Times New Roman;Times;Serif" w:hAnsi="Times New Roman;Times;Serif"/>
          <w:b w:val="false"/>
          <w:i w:val="false"/>
          <w:caps w:val="false"/>
          <w:smallCaps w:val="false"/>
          <w:sz w:val="20"/>
        </w:rPr>
        <w:t>9,645, consisting of $</w:t>
      </w:r>
      <w:bookmarkStart w:id="585" w:name="xdx_908_eus-gaap--DebtInstrumentFaceAmou"/>
      <w:bookmarkEnd w:id="585"/>
      <w:r>
        <w:rPr>
          <w:rFonts w:ascii="Times New Roman;Times;Serif" w:hAnsi="Times New Roman;Times;Serif"/>
          <w:b w:val="false"/>
          <w:i w:val="false"/>
          <w:caps w:val="false"/>
          <w:smallCaps w:val="false"/>
          <w:sz w:val="20"/>
        </w:rPr>
        <w:t>19,344 in principal net of $</w:t>
      </w:r>
      <w:bookmarkStart w:id="586" w:name="xdx_906_eus-gaap--DebtInstrumentUnamorti"/>
      <w:bookmarkEnd w:id="586"/>
      <w:r>
        <w:rPr>
          <w:rFonts w:ascii="Times New Roman;Times;Serif" w:hAnsi="Times New Roman;Times;Serif"/>
          <w:b w:val="false"/>
          <w:i w:val="false"/>
          <w:caps w:val="false"/>
          <w:smallCaps w:val="false"/>
          <w:sz w:val="20"/>
        </w:rPr>
        <w:t>9,699 in unamortized debt discount.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Long Term Debt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 Loan Agreement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original execution of the Term Loan Agreement, the Company entered into six amendments which modified terms of the facility, including, but not limited to, interest rate mechanics, the timing of principal payments, and certain financial and operational covenants. All six amendments were in effect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two restrictive financial covenants, one which pertains to liquidity, requiring the Company to maintain cash and cash equivalents equal to or greater than $</w:t>
      </w:r>
      <w:bookmarkStart w:id="587" w:name="xdx_906_eus-gaap--CashAndCashEquivalents"/>
      <w:bookmarkEnd w:id="587"/>
      <w:r>
        <w:rPr>
          <w:rFonts w:ascii="Times New Roman;Times;Serif" w:hAnsi="Times New Roman;Times;Serif"/>
          <w:b w:val="false"/>
          <w:i w:val="false"/>
          <w:caps w:val="false"/>
          <w:smallCaps w:val="false"/>
          <w:sz w:val="20"/>
        </w:rPr>
        <w:t>5,000 through December 31, 2026, and a maximum capital expenditure threshold of $</w:t>
      </w:r>
      <w:bookmarkStart w:id="588" w:name="xdx_904_eus-gaap--Capital_iI_pn3n3_c2026"/>
      <w:bookmarkEnd w:id="588"/>
      <w:r>
        <w:rPr>
          <w:rFonts w:ascii="Times New Roman;Times;Serif" w:hAnsi="Times New Roman;Times;Serif"/>
          <w:b w:val="false"/>
          <w:i w:val="false"/>
          <w:caps w:val="false"/>
          <w:smallCaps w:val="false"/>
          <w:sz w:val="20"/>
        </w:rPr>
        <w:t>5,000 per year. The financial covenants pertaining to maximum senior leverage ratio and fixed charge coverage ratio are both delayed until the quarter ending March 31,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9" w:name="xdx_89F_eus-gaap--ScheduleOfMaturitiesOf"/>
      <w:bookmarkEnd w:id="589"/>
      <w:r>
        <w:rPr>
          <w:rFonts w:ascii="Times New Roman;Times;Serif" w:hAnsi="Times New Roman;Times;Serif"/>
          <w:b w:val="false"/>
          <w:i w:val="false"/>
          <w:caps w:val="false"/>
          <w:smallCaps w:val="false"/>
          <w:sz w:val="20"/>
        </w:rPr>
        <w:t>At June 30, 2026, the future debt maturities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0" w:name="xdx_8BC_zgRdInryhl8"/>
      <w:bookmarkEnd w:id="590"/>
      <w:r>
        <w:rPr>
          <w:rFonts w:ascii="Times New Roman;Times;Serif" w:hAnsi="Times New Roman;Times;Serif"/>
          <w:b w:val="false"/>
          <w:i w:val="false"/>
          <w:caps w:val="false"/>
          <w:smallCaps w:val="false"/>
          <w:sz w:val="20"/>
        </w:rPr>
        <w:t>SCHEDULE OF FUTURE DEBT MATURITIES </w:t>
      </w:r>
    </w:p>
    <w:tbl>
      <w:tblPr>
        <w:tblW w:w="4655" w:type="dxa"/>
        <w:jc w:val="left"/>
        <w:tblInd w:w="0" w:type="dxa"/>
        <w:tblLayout w:type="fixed"/>
        <w:tblCellMar>
          <w:top w:w="0" w:type="dxa"/>
          <w:left w:w="0" w:type="dxa"/>
          <w:bottom w:w="28" w:type="dxa"/>
          <w:right w:w="0" w:type="dxa"/>
        </w:tblCellMar>
      </w:tblPr>
      <w:tblGrid>
        <w:gridCol w:w="3665"/>
        <w:gridCol w:w="60"/>
        <w:gridCol w:w="140"/>
        <w:gridCol w:w="680"/>
        <w:gridCol w:w="110"/>
      </w:tblGrid>
      <w:tr>
        <w:trPr/>
        <w:tc>
          <w:tcPr>
            <w:tcW w:w="3665" w:type="dxa"/>
            <w:tcBorders>
              <w:bottom w:val="single" w:sz="8" w:space="0" w:color="000000"/>
            </w:tcBorders>
            <w:vAlign w:val="center"/>
          </w:tcPr>
          <w:p>
            <w:pPr>
              <w:pStyle w:val="TableContents"/>
              <w:bidi w:val="0"/>
              <w:spacing w:before="0" w:after="283"/>
              <w:jc w:val="both"/>
              <w:rPr/>
            </w:pPr>
            <w:r>
              <w:rPr/>
              <w:t>Fiscal Years Ending</w:t>
            </w:r>
          </w:p>
        </w:tc>
        <w:tc>
          <w:tcPr>
            <w:tcW w:w="60" w:type="dxa"/>
            <w:tcBorders/>
            <w:tcMar>
              <w:bottom w:w="0" w:type="dxa"/>
            </w:tcMar>
            <w:vAlign w:val="center"/>
          </w:tcPr>
          <w:p>
            <w:pPr>
              <w:pStyle w:val="TableContents"/>
              <w:bidi w:val="0"/>
              <w:spacing w:before="0" w:after="283"/>
              <w:jc w:val="left"/>
              <w:rPr/>
            </w:pPr>
            <w:r>
              <w:rPr/>
              <w:t> </w:t>
            </w:r>
            <w:bookmarkStart w:id="591" w:name="xdx_497_20260630_zOxjFKFdT028"/>
            <w:bookmarkEnd w:id="591"/>
          </w:p>
        </w:tc>
        <w:tc>
          <w:tcPr>
            <w:tcW w:w="820"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bookmarkStart w:id="592" w:name="xdx_403_eus-gaap--LongTermDebtMaturities"/>
            <w:bookmarkEnd w:id="592"/>
          </w:p>
        </w:tc>
      </w:tr>
      <w:tr>
        <w:trPr/>
        <w:tc>
          <w:tcPr>
            <w:tcW w:w="36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December 31, 2026</w:t>
            </w:r>
            <w:bookmarkStart w:id="593" w:name="xdx_F4A_zfAmcJXM6vT2"/>
            <w:bookmarkEnd w:id="593"/>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467</w:t>
            </w:r>
          </w:p>
        </w:tc>
        <w:tc>
          <w:tcPr>
            <w:tcW w:w="110" w:type="dxa"/>
            <w:tcBorders/>
            <w:shd w:fill="CCEEFF" w:val="clear"/>
            <w:tcMar>
              <w:bottom w:w="0" w:type="dxa"/>
            </w:tcMar>
            <w:vAlign w:val="center"/>
          </w:tcPr>
          <w:p>
            <w:pPr>
              <w:pStyle w:val="TableContents"/>
              <w:bidi w:val="0"/>
              <w:spacing w:before="0" w:after="283"/>
              <w:jc w:val="left"/>
              <w:rPr/>
            </w:pPr>
            <w:r>
              <w:rPr/>
              <w:t> </w:t>
            </w:r>
            <w:bookmarkStart w:id="594" w:name="xdx_402_eus-gaap--LongTermDebtMaturities"/>
            <w:bookmarkEnd w:id="594"/>
          </w:p>
        </w:tc>
      </w:tr>
      <w:tr>
        <w:trPr/>
        <w:tc>
          <w:tcPr>
            <w:tcW w:w="3665" w:type="dxa"/>
            <w:tcBorders/>
            <w:shd w:fill="FFFFFF" w:val="clear"/>
            <w:tcMar>
              <w:bottom w:w="0" w:type="dxa"/>
            </w:tcMar>
            <w:vAlign w:val="center"/>
          </w:tcPr>
          <w:p>
            <w:pPr>
              <w:pStyle w:val="TableContents"/>
              <w:bidi w:val="0"/>
              <w:spacing w:before="0" w:after="283"/>
              <w:jc w:val="both"/>
              <w:rPr/>
            </w:pPr>
            <w:r>
              <w:rPr/>
              <w:t>December 31,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18,399</w:t>
            </w:r>
          </w:p>
        </w:tc>
        <w:tc>
          <w:tcPr>
            <w:tcW w:w="110" w:type="dxa"/>
            <w:tcBorders/>
            <w:shd w:fill="FFFFFF" w:val="clear"/>
            <w:tcMar>
              <w:bottom w:w="0" w:type="dxa"/>
            </w:tcMar>
            <w:vAlign w:val="center"/>
          </w:tcPr>
          <w:p>
            <w:pPr>
              <w:pStyle w:val="TableContents"/>
              <w:bidi w:val="0"/>
              <w:spacing w:before="0" w:after="283"/>
              <w:jc w:val="left"/>
              <w:rPr/>
            </w:pPr>
            <w:r>
              <w:rPr/>
              <w:t> </w:t>
            </w:r>
            <w:bookmarkStart w:id="595" w:name="xdx_407_eus-gaap--LongTermDebt_iTI_pn3n3"/>
            <w:bookmarkEnd w:id="595"/>
          </w:p>
        </w:tc>
      </w:tr>
      <w:tr>
        <w:trPr/>
        <w:tc>
          <w:tcPr>
            <w:tcW w:w="3665" w:type="dxa"/>
            <w:tcBorders/>
            <w:shd w:fill="CCEEFF" w:val="clear"/>
            <w:tcMar>
              <w:bottom w:w="0" w:type="dxa"/>
            </w:tcMar>
            <w:vAlign w:val="center"/>
          </w:tcPr>
          <w:p>
            <w:pPr>
              <w:pStyle w:val="TableContents"/>
              <w:bidi w:val="0"/>
              <w:spacing w:before="0" w:after="283"/>
              <w:jc w:val="both"/>
              <w:rPr/>
            </w:pPr>
            <w:r>
              <w:rPr/>
              <w:t>Total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18,866</w:t>
            </w:r>
          </w:p>
        </w:tc>
        <w:tc>
          <w:tcPr>
            <w:tcW w:w="110" w:type="dxa"/>
            <w:tcBorders/>
            <w:shd w:fill="CCEEFF" w:val="clear"/>
            <w:tcMar>
              <w:bottom w:w="0" w:type="dxa"/>
            </w:tcMar>
            <w:vAlign w:val="center"/>
          </w:tcPr>
          <w:p>
            <w:pPr>
              <w:pStyle w:val="TableContents"/>
              <w:bidi w:val="0"/>
              <w:spacing w:before="0" w:after="283"/>
              <w:jc w:val="left"/>
              <w:rPr/>
            </w:pPr>
            <w:r>
              <w:rPr/>
              <w:t> </w:t>
            </w:r>
            <w:bookmarkStart w:id="596" w:name="xdx_405_eus-gaap--LongtermDebtPercentage"/>
            <w:bookmarkEnd w:id="596"/>
          </w:p>
        </w:tc>
      </w:tr>
      <w:tr>
        <w:trPr/>
        <w:tc>
          <w:tcPr>
            <w:tcW w:w="3665" w:type="dxa"/>
            <w:tcBorders/>
            <w:shd w:fill="FFFFFF" w:val="clear"/>
            <w:tcMar>
              <w:bottom w:w="0" w:type="dxa"/>
            </w:tcMar>
            <w:vAlign w:val="center"/>
          </w:tcPr>
          <w:p>
            <w:pPr>
              <w:pStyle w:val="TableContents"/>
              <w:bidi w:val="0"/>
              <w:spacing w:before="0" w:after="283"/>
              <w:jc w:val="both"/>
              <w:rPr/>
            </w:pPr>
            <w:r>
              <w:rPr/>
              <w:t>Less: Estimated interest paid-in-kind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 </w:t>
            </w:r>
          </w:p>
        </w:tc>
        <w:tc>
          <w:tcPr>
            <w:tcW w:w="680" w:type="dxa"/>
            <w:tcBorders>
              <w:bottom w:val="double" w:sz="6"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bookmarkStart w:id="597" w:name="xdx_405_eus-gaap--LongTermDebt_iTI_pn3n3"/>
            <w:bookmarkEnd w:id="597"/>
          </w:p>
        </w:tc>
      </w:tr>
      <w:tr>
        <w:trPr/>
        <w:tc>
          <w:tcPr>
            <w:tcW w:w="3665" w:type="dxa"/>
            <w:tcBorders/>
            <w:shd w:fill="CCEEFF" w:val="clear"/>
            <w:tcMar>
              <w:bottom w:w="0" w:type="dxa"/>
            </w:tcMar>
            <w:vAlign w:val="center"/>
          </w:tcPr>
          <w:p>
            <w:pPr>
              <w:pStyle w:val="TableContents"/>
              <w:bidi w:val="0"/>
              <w:spacing w:before="0" w:after="283"/>
              <w:jc w:val="both"/>
              <w:rPr/>
            </w:pPr>
            <w:r>
              <w:rPr/>
              <w:t>Total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pPr>
            <w:r>
              <w:rPr/>
              <w:t>18,866</w:t>
            </w:r>
          </w:p>
        </w:tc>
        <w:tc>
          <w:tcPr>
            <w:tcW w:w="110" w:type="dxa"/>
            <w:tcBorders/>
            <w:shd w:fill="CCEEFF" w:val="clear"/>
            <w:tcMar>
              <w:bottom w:w="0" w:type="dxa"/>
            </w:tcMar>
            <w:vAlign w:val="center"/>
          </w:tcPr>
          <w:p>
            <w:pPr>
              <w:pStyle w:val="TableContents"/>
              <w:bidi w:val="0"/>
              <w:spacing w:before="0" w:after="283"/>
              <w:jc w:val="left"/>
              <w:rPr/>
            </w:pPr>
            <w:r>
              <w:rPr/>
              <w:t> </w:t>
            </w:r>
            <w:bookmarkStart w:id="598" w:name="xdx_40D_eus-gaap--DebtInstrumentUnamorti"/>
            <w:bookmarkEnd w:id="598"/>
          </w:p>
        </w:tc>
      </w:tr>
      <w:tr>
        <w:trPr/>
        <w:tc>
          <w:tcPr>
            <w:tcW w:w="3665" w:type="dxa"/>
            <w:tcBorders/>
            <w:shd w:fill="FFFFFF" w:val="clear"/>
            <w:tcMar>
              <w:bottom w:w="0" w:type="dxa"/>
            </w:tcMar>
            <w:vAlign w:val="center"/>
          </w:tcPr>
          <w:p>
            <w:pPr>
              <w:pStyle w:val="TableContents"/>
              <w:bidi w:val="0"/>
              <w:spacing w:before="0" w:after="283"/>
              <w:jc w:val="both"/>
              <w:rPr/>
            </w:pPr>
            <w:r>
              <w:rPr/>
              <w:t>Less: Unamortized debt issuance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(7,746</w:t>
            </w:r>
          </w:p>
        </w:tc>
        <w:tc>
          <w:tcPr>
            <w:tcW w:w="110" w:type="dxa"/>
            <w:tcBorders/>
            <w:shd w:fill="FFFFFF" w:val="clear"/>
            <w:tcMar>
              <w:bottom w:w="0" w:type="dxa"/>
            </w:tcMar>
            <w:vAlign w:val="center"/>
          </w:tcPr>
          <w:p>
            <w:pPr>
              <w:pStyle w:val="TableContents"/>
              <w:bidi w:val="0"/>
              <w:spacing w:before="0" w:after="283"/>
              <w:jc w:val="left"/>
              <w:rPr/>
            </w:pPr>
            <w:r>
              <w:rPr/>
              <w:t>)</w:t>
            </w:r>
            <w:bookmarkStart w:id="599" w:name="xdx_40F_eus-gaap--DebtInstrumentCarrying"/>
            <w:bookmarkEnd w:id="599"/>
          </w:p>
        </w:tc>
      </w:tr>
      <w:tr>
        <w:trPr/>
        <w:tc>
          <w:tcPr>
            <w:tcW w:w="3665" w:type="dxa"/>
            <w:tcBorders/>
            <w:shd w:fill="CCEEFF" w:val="clear"/>
            <w:tcMar>
              <w:bottom w:w="0" w:type="dxa"/>
            </w:tcMar>
            <w:vAlign w:val="center"/>
          </w:tcPr>
          <w:p>
            <w:pPr>
              <w:pStyle w:val="TableContents"/>
              <w:bidi w:val="0"/>
              <w:spacing w:before="0" w:after="283"/>
              <w:jc w:val="both"/>
              <w:rPr/>
            </w:pPr>
            <w:r>
              <w:rPr/>
              <w:t>Total carrying amount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pPr>
            <w:r>
              <w:rPr/>
              <w:t>11,120</w:t>
            </w:r>
          </w:p>
        </w:tc>
        <w:tc>
          <w:tcPr>
            <w:tcW w:w="110" w:type="dxa"/>
            <w:tcBorders/>
            <w:shd w:fill="CCEEFF" w:val="clear"/>
            <w:tcMar>
              <w:bottom w:w="0" w:type="dxa"/>
            </w:tcMar>
            <w:vAlign w:val="center"/>
          </w:tcPr>
          <w:p>
            <w:pPr>
              <w:pStyle w:val="TableContents"/>
              <w:bidi w:val="0"/>
              <w:spacing w:before="0" w:after="283"/>
              <w:jc w:val="left"/>
              <w:rPr/>
            </w:pPr>
            <w:r>
              <w:rPr/>
              <w:t> </w:t>
            </w:r>
            <w:bookmarkStart w:id="600" w:name="xdx_407_eus-gaap--LongTermDebtCurrent_iN"/>
            <w:bookmarkEnd w:id="600"/>
          </w:p>
        </w:tc>
      </w:tr>
      <w:tr>
        <w:trPr/>
        <w:tc>
          <w:tcPr>
            <w:tcW w:w="3665" w:type="dxa"/>
            <w:tcBorders/>
            <w:shd w:fill="FFFFFF" w:val="clear"/>
            <w:tcMar>
              <w:bottom w:w="0" w:type="dxa"/>
            </w:tcMar>
            <w:vAlign w:val="center"/>
          </w:tcPr>
          <w:p>
            <w:pPr>
              <w:pStyle w:val="TableContents"/>
              <w:bidi w:val="0"/>
              <w:spacing w:before="0" w:after="283"/>
              <w:jc w:val="both"/>
              <w:rPr/>
            </w:pPr>
            <w:r>
              <w:rPr/>
              <w:t>Less: Current portion of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(506</w:t>
            </w:r>
          </w:p>
        </w:tc>
        <w:tc>
          <w:tcPr>
            <w:tcW w:w="110" w:type="dxa"/>
            <w:tcBorders/>
            <w:shd w:fill="FFFFFF" w:val="clear"/>
            <w:tcMar>
              <w:bottom w:w="0" w:type="dxa"/>
            </w:tcMar>
            <w:vAlign w:val="center"/>
          </w:tcPr>
          <w:p>
            <w:pPr>
              <w:pStyle w:val="TableContents"/>
              <w:bidi w:val="0"/>
              <w:spacing w:before="0" w:after="283"/>
              <w:jc w:val="left"/>
              <w:rPr/>
            </w:pPr>
            <w:r>
              <w:rPr/>
              <w:t>)</w:t>
            </w:r>
            <w:bookmarkStart w:id="601" w:name="xdx_40D_eus-gaap--LongTermDebtNoncurrent"/>
            <w:bookmarkEnd w:id="601"/>
          </w:p>
        </w:tc>
      </w:tr>
      <w:tr>
        <w:trPr/>
        <w:tc>
          <w:tcPr>
            <w:tcW w:w="3665" w:type="dxa"/>
            <w:tcBorders/>
            <w:shd w:fill="CCEEFF" w:val="clear"/>
            <w:tcMar>
              <w:bottom w:w="0" w:type="dxa"/>
            </w:tcMar>
            <w:vAlign w:val="center"/>
          </w:tcPr>
          <w:p>
            <w:pPr>
              <w:pStyle w:val="TableContents"/>
              <w:bidi w:val="0"/>
              <w:spacing w:before="0" w:after="283"/>
              <w:jc w:val="both"/>
              <w:rPr/>
            </w:pPr>
            <w:r>
              <w:rPr/>
              <w:t>Total long-term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80" w:type="dxa"/>
            <w:tcBorders>
              <w:bottom w:val="double" w:sz="6" w:space="0" w:color="000000"/>
            </w:tcBorders>
            <w:shd w:fill="CCEEFF" w:val="clear"/>
            <w:vAlign w:val="center"/>
          </w:tcPr>
          <w:p>
            <w:pPr>
              <w:pStyle w:val="TableContents"/>
              <w:bidi w:val="0"/>
              <w:spacing w:before="0" w:after="283"/>
              <w:jc w:val="right"/>
              <w:rPr/>
            </w:pPr>
            <w:r>
              <w:rPr/>
              <w:t>10,614</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260"/>
        <w:gridCol w:w="7775"/>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602" w:name="xdx_F04_zppOtf66ncl3"/>
            <w:bookmarkEnd w:id="602"/>
            <w:r>
              <w:rPr>
                <w:rFonts w:ascii="Times New Roman;Times;Serif" w:hAnsi="Times New Roman;Times;Serif"/>
                <w:sz w:val="20"/>
              </w:rPr>
              <w:t>(1)</w:t>
            </w:r>
          </w:p>
        </w:tc>
        <w:tc>
          <w:tcPr>
            <w:tcW w:w="7775" w:type="dxa"/>
            <w:tcBorders/>
            <w:vAlign w:val="center"/>
          </w:tcPr>
          <w:p>
            <w:pPr>
              <w:pStyle w:val="TableContents"/>
              <w:bidi w:val="0"/>
              <w:spacing w:before="0" w:after="283"/>
              <w:jc w:val="both"/>
              <w:rPr>
                <w:rFonts w:ascii="Times New Roman;Times;Serif" w:hAnsi="Times New Roman;Times;Serif"/>
                <w:sz w:val="20"/>
              </w:rPr>
            </w:pPr>
            <w:bookmarkStart w:id="603" w:name="xdx_F12_zH4lXZ4vu6uk"/>
            <w:bookmarkEnd w:id="603"/>
            <w:r>
              <w:rPr>
                <w:rFonts w:ascii="Times New Roman;Times;Serif" w:hAnsi="Times New Roman;Times;Serif"/>
                <w:sz w:val="20"/>
              </w:rPr>
              <w:t>Represents scheduled payments for the remaining six-month period ending December 31, 2026.</w:t>
            </w:r>
          </w:p>
        </w:tc>
      </w:tr>
    </w:tbl>
    <w:p>
      <w:pPr>
        <w:pStyle w:val="TextBody"/>
        <w:bidi w:val="0"/>
        <w:spacing w:before="0" w:after="0"/>
        <w:ind w:left="0" w:right="0" w:hanging="0"/>
        <w:jc w:val="both"/>
        <w:rPr>
          <w:caps w:val="false"/>
          <w:smallCaps w:val="false"/>
        </w:rPr>
      </w:pPr>
      <w:bookmarkStart w:id="604" w:name="xdx_8AA_znEzr4QQ0Zfa"/>
      <w:bookmarkEnd w:id="60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605" w:name="xdx_806_eus-gaap--RelatedPartyTransactio"/>
      <w:bookmarkEnd w:id="605"/>
      <w:r>
        <w:rPr>
          <w:rFonts w:ascii="Times New Roman;Times;Serif" w:hAnsi="Times New Roman;Times;Serif"/>
          <w:b/>
          <w:i w:val="false"/>
          <w:caps/>
          <w:sz w:val="20"/>
        </w:rPr>
        <w:t xml:space="preserve">Note 7 - </w:t>
      </w:r>
      <w:bookmarkStart w:id="606" w:name="xdx_82D_zt3ggDGCpMad"/>
      <w:bookmarkEnd w:id="606"/>
      <w:r>
        <w:rPr>
          <w:rFonts w:ascii="Times New Roman;Times;Serif" w:hAnsi="Times New Roman;Times;Serif"/>
          <w:b/>
          <w:i w:val="false"/>
          <w:caps/>
          <w:sz w:val="20"/>
        </w:rPr>
        <w:t>RELATED PARTY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2026, the Company’s executive leadership team agreed to reduce their salaries by approximately 20% for the remainder of fiscal 2026, effective April 1, 2026. The adjusted salaries are as follows: Dr. Phares - $</w:t>
      </w:r>
      <w:bookmarkStart w:id="607" w:name="xdx_903_eus-gaap--SalariesAndWages_pn3n3"/>
      <w:bookmarkEnd w:id="607"/>
      <w:r>
        <w:rPr>
          <w:rFonts w:ascii="Times New Roman;Times;Serif" w:hAnsi="Times New Roman;Times;Serif"/>
          <w:b w:val="false"/>
          <w:i w:val="false"/>
          <w:caps w:val="false"/>
          <w:smallCaps w:val="false"/>
          <w:sz w:val="20"/>
        </w:rPr>
        <w:t>498; Mr. Seaburg - $</w:t>
      </w:r>
      <w:bookmarkStart w:id="608" w:name="xdx_90D_eus-gaap--SalariesAndWages_pn3n3"/>
      <w:bookmarkEnd w:id="608"/>
      <w:r>
        <w:rPr>
          <w:rFonts w:ascii="Times New Roman;Times;Serif" w:hAnsi="Times New Roman;Times;Serif"/>
          <w:b w:val="false"/>
          <w:i w:val="false"/>
          <w:caps w:val="false"/>
          <w:smallCaps w:val="false"/>
          <w:sz w:val="20"/>
        </w:rPr>
        <w:t>221; Mr. Bourns - $</w:t>
      </w:r>
      <w:bookmarkStart w:id="609" w:name="xdx_907_eus-gaap--SalariesAndWages_pn3n3"/>
      <w:bookmarkEnd w:id="609"/>
      <w:r>
        <w:rPr>
          <w:rFonts w:ascii="Times New Roman;Times;Serif" w:hAnsi="Times New Roman;Times;Serif"/>
          <w:b w:val="false"/>
          <w:i w:val="false"/>
          <w:caps w:val="false"/>
          <w:smallCaps w:val="false"/>
          <w:sz w:val="20"/>
        </w:rPr>
        <w:t>264; and Dr. Singh - $</w:t>
      </w:r>
      <w:bookmarkStart w:id="610" w:name="xdx_90E_eus-gaap--SalariesAndWages_pn3n3"/>
      <w:bookmarkEnd w:id="610"/>
      <w:r>
        <w:rPr>
          <w:rFonts w:ascii="Times New Roman;Times;Serif" w:hAnsi="Times New Roman;Times;Serif"/>
          <w:b w:val="false"/>
          <w:i w:val="false"/>
          <w:caps w:val="false"/>
          <w:smallCaps w:val="false"/>
          <w:sz w:val="20"/>
        </w:rPr>
        <w:t>280.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cash compensation, the executives were granted stock options under the Company’s 2022 Plan at an exercise price of $</w:t>
      </w:r>
      <w:bookmarkStart w:id="611" w:name="xdx_90B_eus-gaap--SharePrice_iI_pid_c202"/>
      <w:bookmarkEnd w:id="611"/>
      <w:r>
        <w:rPr>
          <w:rFonts w:ascii="Times New Roman;Times;Serif" w:hAnsi="Times New Roman;Times;Serif"/>
          <w:b w:val="false"/>
          <w:i w:val="false"/>
          <w:caps w:val="false"/>
          <w:smallCaps w:val="false"/>
          <w:sz w:val="20"/>
        </w:rPr>
        <w:t xml:space="preserve">2.99 per share: Dr. Phares - </w:t>
      </w:r>
      <w:bookmarkStart w:id="612" w:name="xdx_90D_eus-gaap--ShareBasedCompensation"/>
      <w:bookmarkEnd w:id="612"/>
      <w:r>
        <w:rPr>
          <w:rFonts w:ascii="Times New Roman;Times;Serif" w:hAnsi="Times New Roman;Times;Serif"/>
          <w:b w:val="false"/>
          <w:i w:val="false"/>
          <w:caps w:val="false"/>
          <w:smallCaps w:val="false"/>
          <w:sz w:val="20"/>
        </w:rPr>
        <w:t xml:space="preserve">38,269 shares; Mr. Seaburg - </w:t>
      </w:r>
      <w:bookmarkStart w:id="613" w:name="xdx_900_eus-gaap--ShareBasedCompensation"/>
      <w:bookmarkEnd w:id="613"/>
      <w:r>
        <w:rPr>
          <w:rFonts w:ascii="Times New Roman;Times;Serif" w:hAnsi="Times New Roman;Times;Serif"/>
          <w:b w:val="false"/>
          <w:i w:val="false"/>
          <w:caps w:val="false"/>
          <w:smallCaps w:val="false"/>
          <w:sz w:val="20"/>
        </w:rPr>
        <w:t xml:space="preserve">36,607 shares; Mr. Bourns - </w:t>
      </w:r>
      <w:bookmarkStart w:id="614" w:name="xdx_904_eus-gaap--ShareBasedCompensation"/>
      <w:bookmarkEnd w:id="614"/>
      <w:r>
        <w:rPr>
          <w:rFonts w:ascii="Times New Roman;Times;Serif" w:hAnsi="Times New Roman;Times;Serif"/>
          <w:b w:val="false"/>
          <w:i w:val="false"/>
          <w:caps w:val="false"/>
          <w:smallCaps w:val="false"/>
          <w:sz w:val="20"/>
        </w:rPr>
        <w:t xml:space="preserve">20,303 shares; and Dr. Singh - </w:t>
      </w:r>
      <w:bookmarkStart w:id="615" w:name="xdx_901_eus-gaap--ShareBasedCompensation"/>
      <w:bookmarkEnd w:id="615"/>
      <w:r>
        <w:rPr>
          <w:rFonts w:ascii="Times New Roman;Times;Serif" w:hAnsi="Times New Roman;Times;Serif"/>
          <w:b w:val="false"/>
          <w:i w:val="false"/>
          <w:caps w:val="false"/>
          <w:smallCaps w:val="false"/>
          <w:sz w:val="20"/>
        </w:rPr>
        <w:t>21,534 shares. The options vest in three equal annual installments beginning April 1, 2026, subject to continued service and the terms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each non-employee director agreed to a comparable 20% reduction in cash compensation for the remainder of fiscal 2026. In lieu thereof, the directors were granted an aggregate of </w:t>
      </w:r>
      <w:bookmarkStart w:id="616" w:name="xdx_90C_eus-gaap--StockIssuedDuringPerio"/>
      <w:bookmarkEnd w:id="616"/>
      <w:r>
        <w:rPr>
          <w:rFonts w:ascii="Times New Roman;Times;Serif" w:hAnsi="Times New Roman;Times;Serif"/>
          <w:b w:val="false"/>
          <w:i w:val="false"/>
          <w:caps w:val="false"/>
          <w:smallCaps w:val="false"/>
          <w:sz w:val="20"/>
        </w:rPr>
        <w:t>13,364 RSUs under the Plan, subject to the same vesting terms and continued service on the Company’s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18, 2026, the Company appointed Lukas Lutz as an independent director. In connection with his appointment, the Company granted him </w:t>
      </w:r>
      <w:bookmarkStart w:id="617" w:name="xdx_903_eus-gaap--StockIssuedDuringPerio"/>
      <w:bookmarkEnd w:id="617"/>
      <w:r>
        <w:rPr>
          <w:rFonts w:ascii="Times New Roman;Times;Serif" w:hAnsi="Times New Roman;Times;Serif"/>
          <w:b w:val="false"/>
          <w:i w:val="false"/>
          <w:caps w:val="false"/>
          <w:smallCaps w:val="false"/>
          <w:sz w:val="20"/>
        </w:rPr>
        <w:t>10,000 restricted stock units with one-half vesting upon the date of grant and one-half vesting on the one-year anniversary, subject to continued service on the Company’s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618" w:name="xdx_807_ecustom--WarrantLiabilitiesDiscl"/>
      <w:bookmarkEnd w:id="618"/>
      <w:r>
        <w:rPr>
          <w:rFonts w:ascii="Times New Roman;Times;Serif" w:hAnsi="Times New Roman;Times;Serif"/>
          <w:b/>
          <w:i w:val="false"/>
          <w:caps/>
          <w:sz w:val="20"/>
        </w:rPr>
        <w:t xml:space="preserve">Note 8 - </w:t>
      </w:r>
      <w:bookmarkStart w:id="619" w:name="xdx_82D_zpGzSKdnwyze"/>
      <w:bookmarkEnd w:id="619"/>
      <w:r>
        <w:rPr>
          <w:rFonts w:ascii="Times New Roman;Times;Serif" w:hAnsi="Times New Roman;Times;Serif"/>
          <w:b/>
          <w:i w:val="false"/>
          <w:caps/>
          <w:sz w:val="20"/>
        </w:rPr>
        <w:t>WARRANTS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Public Warrants are classified as equity and as of June 30, 2026 and December 31, 2025, there were </w:t>
      </w:r>
      <w:bookmarkStart w:id="620" w:name="xdx_904_eus-gaap--ShareBasedCompensation"/>
      <w:bookmarkStart w:id="621" w:name="xdx_905_eus-gaap--ShareBasedCompensation"/>
      <w:bookmarkStart w:id="622" w:name="xdx_90A_eus-gaap--ShareBasedCompensation"/>
      <w:bookmarkStart w:id="623" w:name="xdx_905_eus-gaap--ShareBasedCompensation"/>
      <w:bookmarkEnd w:id="620"/>
      <w:bookmarkEnd w:id="621"/>
      <w:bookmarkEnd w:id="622"/>
      <w:bookmarkEnd w:id="623"/>
      <w:r>
        <w:rPr>
          <w:rFonts w:ascii="Times New Roman;Times;Serif" w:hAnsi="Times New Roman;Times;Serif"/>
          <w:b w:val="false"/>
          <w:i w:val="false"/>
          <w:caps w:val="false"/>
          <w:smallCaps w:val="false"/>
          <w:sz w:val="20"/>
        </w:rPr>
        <w:t>104,695 Public Warrants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and six months ended June 30, 2026 and 2025, </w:t>
      </w:r>
      <w:bookmarkStart w:id="624" w:name="xdx_900_eus-gaap--ShareBasedCompensation"/>
      <w:bookmarkStart w:id="625" w:name="xdx_90F_eus-gaap--ShareBasedCompensation"/>
      <w:bookmarkStart w:id="626" w:name="xdx_908_eus-gaap--ShareBasedCompensation"/>
      <w:bookmarkStart w:id="627" w:name="xdx_903_eus-gaap--ShareBasedCompensation"/>
      <w:bookmarkEnd w:id="624"/>
      <w:bookmarkEnd w:id="625"/>
      <w:bookmarkEnd w:id="626"/>
      <w:bookmarkEnd w:id="627"/>
      <w:r>
        <w:rPr>
          <w:rFonts w:ascii="Times New Roman;Times;Serif" w:hAnsi="Times New Roman;Times;Serif"/>
          <w:b w:val="false"/>
          <w:i w:val="false"/>
          <w:caps w:val="false"/>
          <w:smallCaps w:val="false"/>
          <w:sz w:val="20"/>
        </w:rPr>
        <w:t>no public warrants were exercised.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8 - Warrants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28" w:name="xdx_89D_eus-gaap--ScheduleOfStockholders"/>
      <w:bookmarkEnd w:id="628"/>
      <w:r>
        <w:rPr>
          <w:rFonts w:ascii="Times New Roman;Times;Serif" w:hAnsi="Times New Roman;Times;Serif"/>
          <w:b w:val="false"/>
          <w:i w:val="false"/>
          <w:caps w:val="false"/>
          <w:smallCaps w:val="false"/>
          <w:sz w:val="20"/>
        </w:rPr>
        <w:t>The following table presents a roll-forward of the Company’s equity warrants from January 1, 2026 to June 30, 2026:</w:t>
      </w:r>
    </w:p>
    <w:p>
      <w:pPr>
        <w:pStyle w:val="TextBody"/>
        <w:bidi w:val="0"/>
        <w:spacing w:before="0" w:after="0"/>
        <w:ind w:left="0" w:right="0" w:hanging="0"/>
        <w:jc w:val="both"/>
        <w:rPr>
          <w:caps w:val="false"/>
          <w:smallCaps w:val="false"/>
        </w:rPr>
      </w:pPr>
      <w:r>
        <w:rPr>
          <w:caps w:val="false"/>
          <w:smallCaps w:val="false"/>
        </w:rPr>
        <w:t> </w:t>
      </w:r>
      <w:bookmarkStart w:id="629" w:name="xdx_8BB_zIHeDbvGQvJk"/>
      <w:bookmarkEnd w:id="629"/>
      <w:r>
        <w:rPr>
          <w:rFonts w:ascii="Times New Roman;Times;Serif" w:hAnsi="Times New Roman;Times;Serif"/>
          <w:b w:val="false"/>
          <w:i w:val="false"/>
          <w:caps w:val="false"/>
          <w:smallCaps w:val="false"/>
          <w:sz w:val="20"/>
        </w:rPr>
        <w:t>SCHEDULE OF ROLL-FORWARD OF EQUITY WARRANTS</w:t>
      </w:r>
    </w:p>
    <w:tbl>
      <w:tblPr>
        <w:tblW w:w="10205" w:type="dxa"/>
        <w:jc w:val="left"/>
        <w:tblInd w:w="0" w:type="dxa"/>
        <w:tblLayout w:type="fixed"/>
        <w:tblCellMar>
          <w:top w:w="0" w:type="dxa"/>
          <w:left w:w="0" w:type="dxa"/>
          <w:bottom w:w="0" w:type="dxa"/>
          <w:right w:w="0" w:type="dxa"/>
        </w:tblCellMar>
      </w:tblPr>
      <w:tblGrid>
        <w:gridCol w:w="3271"/>
        <w:gridCol w:w="60"/>
        <w:gridCol w:w="98"/>
        <w:gridCol w:w="1311"/>
        <w:gridCol w:w="60"/>
        <w:gridCol w:w="60"/>
        <w:gridCol w:w="200"/>
        <w:gridCol w:w="1881"/>
        <w:gridCol w:w="60"/>
        <w:gridCol w:w="60"/>
        <w:gridCol w:w="192"/>
        <w:gridCol w:w="2839"/>
        <w:gridCol w:w="113"/>
      </w:tblGrid>
      <w:tr>
        <w:trPr/>
        <w:tc>
          <w:tcPr>
            <w:tcW w:w="32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30" w:name="xdx_4B9_us-gaap--StatementEquityComponen"/>
            <w:bookmarkEnd w:id="630"/>
          </w:p>
        </w:tc>
        <w:tc>
          <w:tcPr>
            <w:tcW w:w="1409" w:type="dxa"/>
            <w:gridSpan w:val="2"/>
            <w:tcBorders>
              <w:bottom w:val="single" w:sz="8" w:space="0" w:color="000000"/>
            </w:tcBorders>
            <w:tcMar>
              <w:bottom w:w="28" w:type="dxa"/>
            </w:tcMar>
            <w:vAlign w:val="center"/>
          </w:tcPr>
          <w:p>
            <w:pPr>
              <w:pStyle w:val="TableContents"/>
              <w:bidi w:val="0"/>
              <w:spacing w:before="0" w:after="283"/>
              <w:jc w:val="center"/>
              <w:rPr/>
            </w:pPr>
            <w:r>
              <w:rPr/>
              <w:t>Public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1" w:name="xdx_4BD_us-gaap--StatementEquityComponen"/>
            <w:bookmarkEnd w:id="631"/>
          </w:p>
        </w:tc>
        <w:tc>
          <w:tcPr>
            <w:tcW w:w="2081" w:type="dxa"/>
            <w:gridSpan w:val="2"/>
            <w:tcBorders>
              <w:bottom w:val="single" w:sz="8" w:space="0" w:color="000000"/>
            </w:tcBorders>
            <w:tcMar>
              <w:bottom w:w="28" w:type="dxa"/>
            </w:tcMar>
            <w:vAlign w:val="center"/>
          </w:tcPr>
          <w:p>
            <w:pPr>
              <w:pStyle w:val="TableContents"/>
              <w:bidi w:val="0"/>
              <w:spacing w:before="0" w:after="283"/>
              <w:jc w:val="center"/>
              <w:rPr/>
            </w:pPr>
            <w:r>
              <w:rPr/>
              <w:t>Underwriters’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2" w:name="xdx_4B3_us-gaap--StatementEquityComponen"/>
            <w:bookmarkEnd w:id="632"/>
          </w:p>
        </w:tc>
        <w:tc>
          <w:tcPr>
            <w:tcW w:w="3031" w:type="dxa"/>
            <w:gridSpan w:val="2"/>
            <w:tcBorders>
              <w:bottom w:val="single" w:sz="8" w:space="0" w:color="000000"/>
            </w:tcBorders>
            <w:tcMar>
              <w:bottom w:w="28" w:type="dxa"/>
            </w:tcMar>
            <w:vAlign w:val="center"/>
          </w:tcPr>
          <w:p>
            <w:pPr>
              <w:pStyle w:val="TableContents"/>
              <w:bidi w:val="0"/>
              <w:spacing w:before="0" w:after="283"/>
              <w:jc w:val="center"/>
              <w:rPr/>
            </w:pPr>
            <w:r>
              <w:rPr/>
              <w:t>Pre-Funded Underwriters’ Warrants</w:t>
            </w:r>
          </w:p>
        </w:tc>
        <w:tc>
          <w:tcPr>
            <w:tcW w:w="113" w:type="dxa"/>
            <w:tcBorders/>
            <w:vAlign w:val="center"/>
          </w:tcPr>
          <w:p>
            <w:pPr>
              <w:pStyle w:val="TableContents"/>
              <w:bidi w:val="0"/>
              <w:spacing w:before="0" w:after="283"/>
              <w:jc w:val="left"/>
              <w:rPr/>
            </w:pPr>
            <w:r>
              <w:rPr/>
              <w:t> </w:t>
            </w:r>
            <w:bookmarkStart w:id="633" w:name="xdx_436_c20260101__20260630_eus-gaap--Sh"/>
            <w:bookmarkEnd w:id="633"/>
          </w:p>
        </w:tc>
      </w:tr>
      <w:tr>
        <w:trPr/>
        <w:tc>
          <w:tcPr>
            <w:tcW w:w="3271" w:type="dxa"/>
            <w:tcBorders/>
            <w:shd w:fill="CCEEFF" w:val="clear"/>
            <w:vAlign w:val="center"/>
          </w:tcPr>
          <w:p>
            <w:pPr>
              <w:pStyle w:val="TableContents"/>
              <w:bidi w:val="0"/>
              <w:spacing w:before="0" w:after="283"/>
              <w:jc w:val="both"/>
              <w:rPr/>
            </w:pPr>
            <w:r>
              <w:rPr/>
              <w:t>Warrants Outstanding, January 1, 2026</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104,695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881" w:type="dxa"/>
            <w:tcBorders/>
            <w:shd w:fill="CCEEFF" w:val="clear"/>
            <w:vAlign w:val="center"/>
          </w:tcPr>
          <w:p>
            <w:pPr>
              <w:pStyle w:val="TableContents"/>
              <w:bidi w:val="0"/>
              <w:spacing w:before="0" w:after="283"/>
              <w:jc w:val="right"/>
              <w:rPr/>
            </w:pPr>
            <w:r>
              <w:rPr/>
              <w:t>6,336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2839" w:type="dxa"/>
            <w:tcBorders/>
            <w:shd w:fill="CCEEFF" w:val="clear"/>
            <w:vAlign w:val="center"/>
          </w:tcPr>
          <w:p>
            <w:pPr>
              <w:pStyle w:val="TableContents"/>
              <w:bidi w:val="0"/>
              <w:spacing w:before="0" w:after="283"/>
              <w:jc w:val="right"/>
              <w:rPr/>
            </w:pPr>
            <w:r>
              <w:rPr/>
              <w:t>500,000</w:t>
            </w:r>
          </w:p>
        </w:tc>
        <w:tc>
          <w:tcPr>
            <w:tcW w:w="113" w:type="dxa"/>
            <w:tcBorders/>
            <w:shd w:fill="CCEEFF" w:val="clear"/>
            <w:vAlign w:val="center"/>
          </w:tcPr>
          <w:p>
            <w:pPr>
              <w:pStyle w:val="TableContents"/>
              <w:bidi w:val="0"/>
              <w:spacing w:before="0" w:after="283"/>
              <w:jc w:val="left"/>
              <w:rPr/>
            </w:pPr>
            <w:r>
              <w:rPr/>
              <w:t> </w:t>
            </w:r>
            <w:bookmarkStart w:id="634" w:name="xdx_407_eus-gaap--ShareBasedCompensation"/>
            <w:bookmarkEnd w:id="634"/>
          </w:p>
        </w:tc>
      </w:tr>
      <w:tr>
        <w:trPr/>
        <w:tc>
          <w:tcPr>
            <w:tcW w:w="3271"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8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839" w:type="dxa"/>
            <w:tcBorders/>
            <w:shd w:fill="FFFFFF" w:val="clear"/>
            <w:vAlign w:val="center"/>
          </w:tcPr>
          <w:p>
            <w:pPr>
              <w:pStyle w:val="TableContents"/>
              <w:bidi w:val="0"/>
              <w:spacing w:before="0" w:after="283"/>
              <w:jc w:val="right"/>
              <w:rPr/>
            </w:pPr>
            <w:r>
              <w:rPr/>
              <w:t>(500,000</w:t>
            </w:r>
          </w:p>
        </w:tc>
        <w:tc>
          <w:tcPr>
            <w:tcW w:w="113" w:type="dxa"/>
            <w:tcBorders/>
            <w:shd w:fill="FFFFFF" w:val="clear"/>
            <w:vAlign w:val="center"/>
          </w:tcPr>
          <w:p>
            <w:pPr>
              <w:pStyle w:val="TableContents"/>
              <w:bidi w:val="0"/>
              <w:spacing w:before="0" w:after="283"/>
              <w:jc w:val="left"/>
              <w:rPr/>
            </w:pPr>
            <w:r>
              <w:rPr/>
              <w:t>)</w:t>
            </w:r>
            <w:bookmarkStart w:id="635" w:name="xdx_400_eus-gaap--ShareBasedCompensation"/>
            <w:bookmarkEnd w:id="635"/>
          </w:p>
        </w:tc>
      </w:tr>
      <w:tr>
        <w:trPr/>
        <w:tc>
          <w:tcPr>
            <w:tcW w:w="3271" w:type="dxa"/>
            <w:tcBorders/>
            <w:shd w:fill="CCEEFF" w:val="clear"/>
            <w:vAlign w:val="center"/>
          </w:tcPr>
          <w:p>
            <w:pPr>
              <w:pStyle w:val="TableContents"/>
              <w:bidi w:val="0"/>
              <w:spacing w:before="0" w:after="283"/>
              <w:jc w:val="both"/>
              <w:rPr/>
            </w:pPr>
            <w:r>
              <w:rPr/>
              <w:t>Warrants issued</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8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83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636" w:name="xdx_435_c20260101__20260630_eus-gaap--Sh"/>
            <w:bookmarkEnd w:id="636"/>
          </w:p>
        </w:tc>
      </w:tr>
      <w:tr>
        <w:trPr/>
        <w:tc>
          <w:tcPr>
            <w:tcW w:w="3271" w:type="dxa"/>
            <w:tcBorders/>
            <w:shd w:fill="FFFFFF" w:val="clear"/>
            <w:vAlign w:val="center"/>
          </w:tcPr>
          <w:p>
            <w:pPr>
              <w:pStyle w:val="TableContents"/>
              <w:bidi w:val="0"/>
              <w:spacing w:before="0" w:after="283"/>
              <w:jc w:val="both"/>
              <w:rPr/>
            </w:pPr>
            <w:r>
              <w:rPr/>
              <w:t>Warrants Outstanding, June 30, 2026</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11" w:type="dxa"/>
            <w:tcBorders>
              <w:bottom w:val="double" w:sz="6" w:space="0" w:color="000000"/>
            </w:tcBorders>
            <w:shd w:fill="FFFFFF" w:val="clear"/>
            <w:tcMar>
              <w:bottom w:w="28" w:type="dxa"/>
            </w:tcMar>
            <w:vAlign w:val="center"/>
          </w:tcPr>
          <w:p>
            <w:pPr>
              <w:pStyle w:val="TableContents"/>
              <w:bidi w:val="0"/>
              <w:spacing w:before="0" w:after="283"/>
              <w:jc w:val="right"/>
              <w:rPr/>
            </w:pPr>
            <w:r>
              <w:rPr/>
              <w:t>104,695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81" w:type="dxa"/>
            <w:tcBorders>
              <w:bottom w:val="double" w:sz="6" w:space="0" w:color="000000"/>
            </w:tcBorders>
            <w:shd w:fill="FFFFFF" w:val="clear"/>
            <w:tcMar>
              <w:bottom w:w="28" w:type="dxa"/>
            </w:tcMar>
            <w:vAlign w:val="center"/>
          </w:tcPr>
          <w:p>
            <w:pPr>
              <w:pStyle w:val="TableContents"/>
              <w:bidi w:val="0"/>
              <w:spacing w:before="0" w:after="283"/>
              <w:jc w:val="right"/>
              <w:rPr/>
            </w:pPr>
            <w:r>
              <w:rPr/>
              <w:t>6,336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83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37" w:name="xdx_8A5_z1Z2o6bQBcz6"/>
      <w:bookmarkEnd w:id="63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the Company received proceeds of $</w:t>
      </w:r>
      <w:bookmarkStart w:id="638" w:name="xdx_90D_eus-gaap--ShareBasedCompensation"/>
      <w:bookmarkStart w:id="639" w:name="xdx_901_eus-gaap--ShareBasedCompensation"/>
      <w:bookmarkEnd w:id="638"/>
      <w:bookmarkEnd w:id="639"/>
      <w:r>
        <w:rPr>
          <w:rFonts w:ascii="Times New Roman;Times;Serif" w:hAnsi="Times New Roman;Times;Serif"/>
          <w:b w:val="false"/>
          <w:i w:val="false"/>
          <w:caps w:val="false"/>
          <w:smallCaps w:val="false"/>
          <w:sz w:val="20"/>
        </w:rPr>
        <w:t>1 from the exercise of equity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640" w:name="xdx_907_eus-gaap--ShareBasedCompensation"/>
      <w:bookmarkStart w:id="641" w:name="xdx_904_eus-gaap--ShareBasedCompensation"/>
      <w:bookmarkEnd w:id="640"/>
      <w:bookmarkEnd w:id="641"/>
      <w:r>
        <w:rPr>
          <w:rFonts w:ascii="Times New Roman;Times;Serif" w:hAnsi="Times New Roman;Times;Serif"/>
          <w:b w:val="false"/>
          <w:i w:val="false"/>
          <w:caps w:val="false"/>
          <w:smallCaps w:val="false"/>
          <w:sz w:val="20"/>
        </w:rPr>
        <w:t>16,682 private warrants outstanding as of June 30, 2026 and December 31, 2025,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each such re-measurement, the warrant liabilities will be adjusted to their current fair value, with the change in fair value recognized in the Company’s statement of operations. The Company will reassess the classification at each balance sheet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8 - Warrants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are classified as Level 2 within the fair value hierarchy. Although these instruments are not actively traded, they are valued based on observable inputs, including the market price of the Company’s publicly traded warrants. The Company used a Black-Scholes model to estimate the fair value of the Private Placement Warrants, applying a discount to the value of the Public Warrants to account for the difference in remaining life. Because the valuation primarily relies on observable market data with limited adjustments, the Company determined that classification within Level 2 is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Term Loan Agreement on October 7, 2022, and as a required term and condition thereof, </w:t>
      </w:r>
      <w:bookmarkStart w:id="642" w:name="xdx_904_ecustom--ClassOfWarrantOrRightEx"/>
      <w:bookmarkEnd w:id="642"/>
      <w:r>
        <w:rPr>
          <w:rFonts w:ascii="Times New Roman;Times;Serif" w:hAnsi="Times New Roman;Times;Serif"/>
          <w:b w:val="false"/>
          <w:i w:val="false"/>
          <w:caps w:val="false"/>
          <w:smallCaps w:val="false"/>
          <w:sz w:val="20"/>
        </w:rPr>
        <w:t xml:space="preserve">the Company issued (i) the penny warrants to the Term Loan Lenders exercisable to purchase an aggregate of </w:t>
      </w:r>
      <w:bookmarkStart w:id="643" w:name="xdx_90B_eus-gaap--ClassOfWarrantOrRightN"/>
      <w:bookmarkEnd w:id="643"/>
      <w:r>
        <w:rPr>
          <w:rFonts w:ascii="Times New Roman;Times;Serif" w:hAnsi="Times New Roman;Times;Serif"/>
          <w:b w:val="false"/>
          <w:i w:val="false"/>
          <w:caps w:val="false"/>
          <w:smallCaps w:val="false"/>
          <w:sz w:val="20"/>
        </w:rPr>
        <w:t xml:space="preserve">28,812 shares of common stock (the “Original Penny Warrants”) and (ii) warrants to the Term Loan Lenders exercisable to purchase an aggregate of </w:t>
      </w:r>
      <w:bookmarkStart w:id="644" w:name="xdx_902_eus-gaap--ClassOfWarrantOrRightN"/>
      <w:bookmarkEnd w:id="644"/>
      <w:r>
        <w:rPr>
          <w:rFonts w:ascii="Times New Roman;Times;Serif" w:hAnsi="Times New Roman;Times;Serif"/>
          <w:b w:val="false"/>
          <w:i w:val="false"/>
          <w:caps w:val="false"/>
          <w:smallCaps w:val="false"/>
          <w:sz w:val="20"/>
        </w:rPr>
        <w:t xml:space="preserve">17,778 shares of common stock at </w:t>
      </w:r>
      <w:bookmarkStart w:id="645" w:name="xdx_903_eus-gaap--SharePrice_iI_pid_c202"/>
      <w:bookmarkEnd w:id="645"/>
      <w:r>
        <w:rPr>
          <w:rFonts w:ascii="Times New Roman;Times;Serif" w:hAnsi="Times New Roman;Times;Serif"/>
          <w:b w:val="false"/>
          <w:i w:val="false"/>
          <w:caps w:val="false"/>
          <w:smallCaps w:val="false"/>
          <w:sz w:val="20"/>
        </w:rPr>
        <w:t>$900.00 per share (the “$10 Warrants” and, together with the Original Penny Warrants, the “Term Loan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26, 2025, the Company entered into the Fifth Amendment to the Term Loan with the Term Loan Lenders in connection with the February 2025 securities purchase agreement. The Fifth Amendment provided for a one-time issuance the February 2025 Penny Warrants to purchase up to </w:t>
      </w:r>
      <w:bookmarkStart w:id="646" w:name="xdx_90E_eus-gaap--ClassOfWarrantOrRightN"/>
      <w:bookmarkEnd w:id="646"/>
      <w:r>
        <w:rPr>
          <w:rFonts w:ascii="Times New Roman;Times;Serif" w:hAnsi="Times New Roman;Times;Serif"/>
          <w:b w:val="false"/>
          <w:i w:val="false"/>
          <w:caps w:val="false"/>
          <w:smallCaps w:val="false"/>
          <w:sz w:val="20"/>
        </w:rPr>
        <w:t>33,000 shares of common stock, at an exercise price of $</w:t>
      </w:r>
      <w:bookmarkStart w:id="647" w:name="xdx_90D_eus-gaap--ClassOfWarrantOrRightE"/>
      <w:bookmarkEnd w:id="647"/>
      <w:r>
        <w:rPr>
          <w:rFonts w:ascii="Times New Roman;Times;Serif" w:hAnsi="Times New Roman;Times;Serif"/>
          <w:b w:val="false"/>
          <w:i w:val="false"/>
          <w:caps w:val="false"/>
          <w:smallCaps w:val="false"/>
          <w:sz w:val="20"/>
        </w:rPr>
        <w:t xml:space="preserve">0.10 per share. The February 2025 Penny Warrants are immediately exercisable upon issuance and will expire </w:t>
      </w:r>
      <w:bookmarkStart w:id="648" w:name="xdx_903_eus-gaap--WarrantsAndRightsOutst"/>
      <w:bookmarkEnd w:id="648"/>
      <w:r>
        <w:rPr>
          <w:rFonts w:ascii="Times New Roman;Times;Serif" w:hAnsi="Times New Roman;Times;Serif"/>
          <w:b w:val="false"/>
          <w:i w:val="false"/>
          <w:caps w:val="false"/>
          <w:smallCaps w:val="false"/>
          <w:sz w:val="20"/>
        </w:rPr>
        <w:t>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June 30, 2026, Original Penny Warrant holders exercised </w:t>
      </w:r>
      <w:bookmarkStart w:id="649" w:name="xdx_90B_eus-gaap--ShareBasedCompensation"/>
      <w:bookmarkEnd w:id="649"/>
      <w:r>
        <w:rPr>
          <w:rFonts w:ascii="Times New Roman;Times;Serif" w:hAnsi="Times New Roman;Times;Serif"/>
          <w:b w:val="false"/>
          <w:i w:val="false"/>
          <w:caps w:val="false"/>
          <w:smallCaps w:val="false"/>
          <w:sz w:val="20"/>
        </w:rPr>
        <w:t xml:space="preserve">103,948 warrants on a cashless basis, with the Company agreeing to issue </w:t>
      </w:r>
      <w:bookmarkStart w:id="650" w:name="xdx_904_eus-gaap--StockIssuedDuringPerio"/>
      <w:bookmarkEnd w:id="650"/>
      <w:r>
        <w:rPr>
          <w:rFonts w:ascii="Times New Roman;Times;Serif" w:hAnsi="Times New Roman;Times;Serif"/>
          <w:b w:val="false"/>
          <w:i w:val="false"/>
          <w:caps w:val="false"/>
          <w:smallCaps w:val="false"/>
          <w:sz w:val="20"/>
        </w:rPr>
        <w:t>103,390 shares of common stock in connection with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Original Penny Warrant holders exercised </w:t>
      </w:r>
      <w:bookmarkStart w:id="651" w:name="xdx_908_eus-gaap--ShareBasedCompensation"/>
      <w:bookmarkEnd w:id="651"/>
      <w:r>
        <w:rPr>
          <w:rFonts w:ascii="Times New Roman;Times;Serif" w:hAnsi="Times New Roman;Times;Serif"/>
          <w:b w:val="false"/>
          <w:i w:val="false"/>
          <w:caps w:val="false"/>
          <w:smallCaps w:val="false"/>
          <w:sz w:val="20"/>
        </w:rPr>
        <w:t xml:space="preserve">174,215 warrants on a cashless basis, with the Company agreeing to issue </w:t>
      </w:r>
      <w:bookmarkStart w:id="652" w:name="xdx_903_eus-gaap--StockIssuedDuringPerio"/>
      <w:bookmarkEnd w:id="652"/>
      <w:r>
        <w:rPr>
          <w:rFonts w:ascii="Times New Roman;Times;Serif" w:hAnsi="Times New Roman;Times;Serif"/>
          <w:b w:val="false"/>
          <w:i w:val="false"/>
          <w:caps w:val="false"/>
          <w:smallCaps w:val="false"/>
          <w:sz w:val="20"/>
        </w:rPr>
        <w:t>173,375 shares of common stock in connection with such exercise.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8 - Warrants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53" w:name="xdx_89C_ecustom--ScheduleOfShareBasedPay"/>
      <w:bookmarkEnd w:id="653"/>
      <w:r>
        <w:rPr>
          <w:rFonts w:ascii="Times New Roman;Times;Serif" w:hAnsi="Times New Roman;Times;Serif"/>
          <w:b w:val="false"/>
          <w:i w:val="false"/>
          <w:caps w:val="false"/>
          <w:smallCaps w:val="false"/>
          <w:sz w:val="20"/>
        </w:rPr>
        <w:t>The following table provides the significant inputs to the Black-Scholes method for the fair value of the Investor Warrants issued in the June 2023 Offering:</w:t>
      </w:r>
    </w:p>
    <w:p>
      <w:pPr>
        <w:pStyle w:val="TextBody"/>
        <w:bidi w:val="0"/>
        <w:spacing w:before="0" w:after="0"/>
        <w:ind w:left="0" w:right="0" w:hanging="0"/>
        <w:jc w:val="both"/>
        <w:rPr>
          <w:caps w:val="false"/>
          <w:smallCaps w:val="false"/>
        </w:rPr>
      </w:pPr>
      <w:r>
        <w:rPr>
          <w:caps w:val="false"/>
          <w:smallCaps w:val="false"/>
        </w:rPr>
        <w:t> </w:t>
      </w:r>
      <w:bookmarkStart w:id="654" w:name="xdx_8B5_z8Nino1XSTZ9"/>
      <w:bookmarkEnd w:id="654"/>
      <w:r>
        <w:rPr>
          <w:rFonts w:ascii="Times New Roman;Times;Serif" w:hAnsi="Times New Roman;Times;Serif"/>
          <w:b w:val="false"/>
          <w:i w:val="false"/>
          <w:caps w:val="false"/>
          <w:smallCaps w:val="false"/>
          <w:sz w:val="20"/>
        </w:rPr>
        <w:t>SCHEDULE OF SIGNIFICANT INPUTS OF FAIR VALUE OF WARRANTS </w:t>
      </w:r>
    </w:p>
    <w:tbl>
      <w:tblPr>
        <w:tblW w:w="5815" w:type="dxa"/>
        <w:jc w:val="left"/>
        <w:tblInd w:w="0" w:type="dxa"/>
        <w:tblLayout w:type="fixed"/>
        <w:tblCellMar>
          <w:top w:w="0" w:type="dxa"/>
          <w:left w:w="0" w:type="dxa"/>
          <w:bottom w:w="0" w:type="dxa"/>
          <w:right w:w="0" w:type="dxa"/>
        </w:tblCellMar>
      </w:tblPr>
      <w:tblGrid>
        <w:gridCol w:w="2000"/>
        <w:gridCol w:w="60"/>
        <w:gridCol w:w="271"/>
        <w:gridCol w:w="1084"/>
        <w:gridCol w:w="215"/>
        <w:gridCol w:w="60"/>
        <w:gridCol w:w="379"/>
        <w:gridCol w:w="1516"/>
        <w:gridCol w:w="230"/>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5" w:name="xdx_49D_20260101__20260630__us-gaap--Sta"/>
            <w:bookmarkEnd w:id="655"/>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 of </w:t>
              <w:br/>
              <w:t>June 30,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6" w:name="xdx_497_20250101__20251231__us-gaap--Sta"/>
            <w:bookmarkEnd w:id="656"/>
          </w:p>
        </w:tc>
        <w:tc>
          <w:tcPr>
            <w:tcW w:w="189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 of </w:t>
              <w:br/>
              <w:t>December 31, 2025</w:t>
            </w:r>
          </w:p>
        </w:tc>
        <w:tc>
          <w:tcPr>
            <w:tcW w:w="230" w:type="dxa"/>
            <w:tcBorders/>
            <w:vAlign w:val="center"/>
          </w:tcPr>
          <w:p>
            <w:pPr>
              <w:pStyle w:val="TableContents"/>
              <w:bidi w:val="0"/>
              <w:spacing w:before="0" w:after="283"/>
              <w:jc w:val="left"/>
              <w:rPr/>
            </w:pPr>
            <w:r>
              <w:rPr/>
              <w:t> </w:t>
            </w:r>
            <w:bookmarkStart w:id="657" w:name="xdx_407_eus-gaap--SharePrice_iE_pid_zlSv"/>
            <w:bookmarkEnd w:id="657"/>
          </w:p>
        </w:tc>
      </w:tr>
      <w:tr>
        <w:trPr/>
        <w:tc>
          <w:tcPr>
            <w:tcW w:w="2000" w:type="dxa"/>
            <w:tcBorders/>
            <w:shd w:fill="CCEEFF" w:val="clear"/>
            <w:vAlign w:val="center"/>
          </w:tcPr>
          <w:p>
            <w:pPr>
              <w:pStyle w:val="TableContents"/>
              <w:bidi w:val="0"/>
              <w:spacing w:before="0" w:after="283"/>
              <w:jc w:val="left"/>
              <w:rPr/>
            </w:pPr>
            <w:r>
              <w:rPr/>
              <w:t>Common stock price</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084" w:type="dxa"/>
            <w:tcBorders/>
            <w:shd w:fill="CCEEFF" w:val="clear"/>
            <w:vAlign w:val="center"/>
          </w:tcPr>
          <w:p>
            <w:pPr>
              <w:pStyle w:val="TableContents"/>
              <w:bidi w:val="0"/>
              <w:spacing w:before="0" w:after="283"/>
              <w:jc w:val="right"/>
              <w:rPr/>
            </w:pPr>
            <w:r>
              <w:rPr/>
              <w:t>1.96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3.25</w:t>
            </w:r>
          </w:p>
        </w:tc>
        <w:tc>
          <w:tcPr>
            <w:tcW w:w="230" w:type="dxa"/>
            <w:tcBorders/>
            <w:shd w:fill="CCEEFF" w:val="clear"/>
            <w:vAlign w:val="center"/>
          </w:tcPr>
          <w:p>
            <w:pPr>
              <w:pStyle w:val="TableContents"/>
              <w:bidi w:val="0"/>
              <w:spacing w:before="0" w:after="283"/>
              <w:jc w:val="left"/>
              <w:rPr/>
            </w:pPr>
            <w:r>
              <w:rPr/>
              <w:t> </w:t>
            </w:r>
            <w:bookmarkStart w:id="658" w:name="xdx_409_eus-gaap--ShareBasedCompensation"/>
            <w:bookmarkEnd w:id="658"/>
          </w:p>
        </w:tc>
      </w:tr>
      <w:tr>
        <w:trPr/>
        <w:tc>
          <w:tcPr>
            <w:tcW w:w="2000"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w:t>
            </w:r>
          </w:p>
        </w:tc>
        <w:tc>
          <w:tcPr>
            <w:tcW w:w="1084" w:type="dxa"/>
            <w:tcBorders/>
            <w:shd w:fill="FFFFFF" w:val="clear"/>
            <w:vAlign w:val="center"/>
          </w:tcPr>
          <w:p>
            <w:pPr>
              <w:pStyle w:val="TableContents"/>
              <w:bidi w:val="0"/>
              <w:spacing w:before="0" w:after="283"/>
              <w:jc w:val="right"/>
              <w:rPr/>
            </w:pPr>
            <w:r>
              <w:rPr/>
              <w:t>180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w:t>
            </w:r>
          </w:p>
        </w:tc>
        <w:tc>
          <w:tcPr>
            <w:tcW w:w="1516" w:type="dxa"/>
            <w:tcBorders/>
            <w:shd w:fill="FFFFFF" w:val="clear"/>
            <w:vAlign w:val="center"/>
          </w:tcPr>
          <w:p>
            <w:pPr>
              <w:pStyle w:val="TableContents"/>
              <w:bidi w:val="0"/>
              <w:spacing w:before="0" w:after="283"/>
              <w:jc w:val="right"/>
              <w:rPr/>
            </w:pPr>
            <w:r>
              <w:rPr/>
              <w:t>180</w:t>
            </w:r>
          </w:p>
        </w:tc>
        <w:tc>
          <w:tcPr>
            <w:tcW w:w="230" w:type="dxa"/>
            <w:tcBorders/>
            <w:shd w:fill="FFFFFF" w:val="clear"/>
            <w:vAlign w:val="center"/>
          </w:tcPr>
          <w:p>
            <w:pPr>
              <w:pStyle w:val="TableContents"/>
              <w:bidi w:val="0"/>
              <w:spacing w:before="0" w:after="283"/>
              <w:jc w:val="left"/>
              <w:rPr/>
            </w:pPr>
            <w:r>
              <w:rPr/>
              <w:t> </w:t>
            </w:r>
            <w:bookmarkStart w:id="659" w:name="xdx_400_eus-gaap--ShareBasedCompensation"/>
            <w:bookmarkEnd w:id="659"/>
          </w:p>
        </w:tc>
      </w:tr>
      <w:tr>
        <w:trPr/>
        <w:tc>
          <w:tcPr>
            <w:tcW w:w="2000"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Term</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bookmarkStart w:id="660" w:name="xdx_908_eus-gaap--SharebasedCompensation"/>
            <w:bookmarkEnd w:id="660"/>
            <w:r>
              <w:rPr/>
              <w:t>1.98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bookmarkStart w:id="661" w:name="xdx_907_eus-gaap--SharebasedCompensation"/>
            <w:bookmarkEnd w:id="661"/>
            <w:r>
              <w:rPr/>
              <w:t>2.48</w:t>
            </w:r>
          </w:p>
        </w:tc>
        <w:tc>
          <w:tcPr>
            <w:tcW w:w="230" w:type="dxa"/>
            <w:tcBorders/>
            <w:shd w:fill="FFFFFF" w:val="clear"/>
            <w:vAlign w:val="center"/>
          </w:tcPr>
          <w:p>
            <w:pPr>
              <w:pStyle w:val="TableContents"/>
              <w:bidi w:val="0"/>
              <w:spacing w:before="0" w:after="283"/>
              <w:jc w:val="left"/>
              <w:rPr/>
            </w:pPr>
            <w:r>
              <w:rPr/>
              <w:t> </w:t>
            </w:r>
            <w:bookmarkStart w:id="662" w:name="xdx_40A_eus-gaap--ShareBasedCompensation"/>
            <w:bookmarkEnd w:id="662"/>
          </w:p>
        </w:tc>
      </w:tr>
      <w:tr>
        <w:trPr/>
        <w:tc>
          <w:tcPr>
            <w:tcW w:w="2000"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158.3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571.4</w:t>
            </w:r>
          </w:p>
        </w:tc>
        <w:tc>
          <w:tcPr>
            <w:tcW w:w="23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bookmarkStart w:id="663" w:name="xdx_90F_eus-gaap--ShareBasedCompensation"/>
            <w:bookmarkEnd w:id="663"/>
            <w:r>
              <w:rPr/>
              <w:t>3.7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bookmarkStart w:id="664" w:name="xdx_90D_eus-gaap--ShareBasedCompensation"/>
            <w:bookmarkEnd w:id="664"/>
            <w:r>
              <w:rPr/>
              <w:t>3.7</w:t>
            </w:r>
          </w:p>
        </w:tc>
        <w:tc>
          <w:tcPr>
            <w:tcW w:w="230" w:type="dxa"/>
            <w:tcBorders/>
            <w:shd w:fill="FFFFFF" w:val="clear"/>
            <w:vAlign w:val="center"/>
          </w:tcPr>
          <w:p>
            <w:pPr>
              <w:pStyle w:val="TableContents"/>
              <w:bidi w:val="0"/>
              <w:spacing w:before="0" w:after="283"/>
              <w:jc w:val="left"/>
              <w:rPr/>
            </w:pPr>
            <w:r>
              <w:rPr/>
              <w:t>%</w:t>
            </w:r>
            <w:bookmarkStart w:id="665" w:name="xdx_40F_ecustom--FairValueOfWarrant_iI_p"/>
            <w:bookmarkEnd w:id="665"/>
          </w:p>
        </w:tc>
      </w:tr>
      <w:tr>
        <w:trPr/>
        <w:tc>
          <w:tcPr>
            <w:tcW w:w="2000" w:type="dxa"/>
            <w:tcBorders/>
            <w:shd w:fill="CCEEFF" w:val="clear"/>
            <w:vAlign w:val="center"/>
          </w:tcPr>
          <w:p>
            <w:pPr>
              <w:pStyle w:val="TableContents"/>
              <w:bidi w:val="0"/>
              <w:spacing w:before="0" w:after="283"/>
              <w:jc w:val="left"/>
              <w:rPr/>
            </w:pPr>
            <w:r>
              <w:rPr/>
              <w:t>Fair value</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084" w:type="dxa"/>
            <w:tcBorders/>
            <w:shd w:fill="CCEEFF" w:val="clear"/>
            <w:vAlign w:val="center"/>
          </w:tcPr>
          <w:p>
            <w:pPr>
              <w:pStyle w:val="TableContents"/>
              <w:bidi w:val="0"/>
              <w:spacing w:before="0" w:after="283"/>
              <w:jc w:val="right"/>
              <w:rPr/>
            </w:pPr>
            <w:r>
              <w:rPr/>
              <w:t>0.213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3.25</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66" w:name="xdx_8A0_zic5wgQTzyfk"/>
      <w:bookmarkEnd w:id="66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7" w:name="xdx_89E_eus-gaap--ScheduleOfShareBasedCo"/>
      <w:bookmarkEnd w:id="667"/>
      <w:r>
        <w:rPr>
          <w:rFonts w:ascii="Times New Roman;Times;Serif" w:hAnsi="Times New Roman;Times;Serif"/>
          <w:b w:val="false"/>
          <w:i w:val="false"/>
          <w:caps w:val="false"/>
          <w:smallCaps w:val="false"/>
          <w:sz w:val="20"/>
        </w:rPr>
        <w:t>The following table presents a roll-forward of the Company’s warrants from January 1, 2026 to June 30, 2026:</w:t>
      </w:r>
    </w:p>
    <w:p>
      <w:pPr>
        <w:pStyle w:val="TextBody"/>
        <w:bidi w:val="0"/>
        <w:spacing w:before="0" w:after="0"/>
        <w:ind w:left="0" w:right="0" w:hanging="0"/>
        <w:jc w:val="both"/>
        <w:rPr>
          <w:caps w:val="false"/>
          <w:smallCaps w:val="false"/>
        </w:rPr>
      </w:pPr>
      <w:r>
        <w:rPr>
          <w:caps w:val="false"/>
          <w:smallCaps w:val="false"/>
        </w:rPr>
        <w:t> </w:t>
      </w:r>
      <w:bookmarkStart w:id="668" w:name="xdx_8BE_zhgEDRPc8Hu3"/>
      <w:bookmarkEnd w:id="668"/>
      <w:r>
        <w:rPr>
          <w:rFonts w:ascii="Times New Roman;Times;Serif" w:hAnsi="Times New Roman;Times;Serif"/>
          <w:b w:val="false"/>
          <w:i w:val="false"/>
          <w:caps w:val="false"/>
          <w:smallCaps w:val="false"/>
          <w:sz w:val="20"/>
        </w:rPr>
        <w:t>SCHEDULE OF ROLL FORWARD OF LIABILITY CLASSIFIED WARRANTS </w:t>
      </w:r>
    </w:p>
    <w:tbl>
      <w:tblPr>
        <w:tblW w:w="7044" w:type="dxa"/>
        <w:jc w:val="left"/>
        <w:tblInd w:w="0" w:type="dxa"/>
        <w:tblLayout w:type="fixed"/>
        <w:tblCellMar>
          <w:top w:w="0" w:type="dxa"/>
          <w:left w:w="0" w:type="dxa"/>
          <w:bottom w:w="0" w:type="dxa"/>
          <w:right w:w="0" w:type="dxa"/>
        </w:tblCellMar>
      </w:tblPr>
      <w:tblGrid>
        <w:gridCol w:w="3740"/>
        <w:gridCol w:w="60"/>
        <w:gridCol w:w="70"/>
        <w:gridCol w:w="805"/>
        <w:gridCol w:w="60"/>
        <w:gridCol w:w="60"/>
        <w:gridCol w:w="73"/>
        <w:gridCol w:w="1071"/>
        <w:gridCol w:w="95"/>
        <w:gridCol w:w="60"/>
        <w:gridCol w:w="61"/>
        <w:gridCol w:w="814"/>
        <w:gridCol w:w="75"/>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69" w:name="xdx_4B0_us-gaap--StatementEquityComponen"/>
            <w:bookmarkEnd w:id="669"/>
          </w:p>
        </w:tc>
        <w:tc>
          <w:tcPr>
            <w:tcW w:w="875" w:type="dxa"/>
            <w:gridSpan w:val="2"/>
            <w:tcBorders>
              <w:bottom w:val="single" w:sz="8" w:space="0" w:color="000000"/>
            </w:tcBorders>
            <w:tcMar>
              <w:bottom w:w="28" w:type="dxa"/>
            </w:tcMar>
            <w:vAlign w:val="center"/>
          </w:tcPr>
          <w:p>
            <w:pPr>
              <w:pStyle w:val="TableContents"/>
              <w:bidi w:val="0"/>
              <w:spacing w:before="0" w:after="283"/>
              <w:jc w:val="center"/>
              <w:rPr/>
            </w:pPr>
            <w:r>
              <w:rPr/>
              <w:t>Private</w:t>
              <w:b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70" w:name="xdx_4B3_us-gaap--StatementEquityComponen"/>
            <w:bookmarkEnd w:id="670"/>
          </w:p>
        </w:tc>
        <w:tc>
          <w:tcPr>
            <w:tcW w:w="114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Term Loan </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71" w:name="xdx_4B0_us-gaap--StatementEquityComponen"/>
            <w:bookmarkEnd w:id="671"/>
          </w:p>
        </w:tc>
        <w:tc>
          <w:tcPr>
            <w:tcW w:w="87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Investor </w:t>
              <w:br/>
              <w:t>Warrants</w:t>
            </w:r>
          </w:p>
        </w:tc>
        <w:tc>
          <w:tcPr>
            <w:tcW w:w="75" w:type="dxa"/>
            <w:tcBorders/>
            <w:vAlign w:val="center"/>
          </w:tcPr>
          <w:p>
            <w:pPr>
              <w:pStyle w:val="TableContents"/>
              <w:bidi w:val="0"/>
              <w:spacing w:before="0" w:after="283"/>
              <w:jc w:val="left"/>
              <w:rPr/>
            </w:pPr>
            <w:r>
              <w:rPr/>
              <w:t> </w:t>
            </w:r>
            <w:bookmarkStart w:id="672" w:name="xdx_43A_c20260101__20260630_eus-gaap--Sh"/>
            <w:bookmarkEnd w:id="672"/>
          </w:p>
        </w:tc>
      </w:tr>
      <w:tr>
        <w:trPr/>
        <w:tc>
          <w:tcPr>
            <w:tcW w:w="3740" w:type="dxa"/>
            <w:tcBorders/>
            <w:shd w:fill="CCEEFF" w:val="clear"/>
            <w:vAlign w:val="center"/>
          </w:tcPr>
          <w:p>
            <w:pPr>
              <w:pStyle w:val="TableContents"/>
              <w:bidi w:val="0"/>
              <w:spacing w:before="0" w:after="283"/>
              <w:jc w:val="left"/>
              <w:rPr/>
            </w:pPr>
            <w:r>
              <w:rPr/>
              <w:t>Warrants Outstanding, January 1, 2026</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16,682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174,215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123,688</w:t>
            </w:r>
          </w:p>
        </w:tc>
        <w:tc>
          <w:tcPr>
            <w:tcW w:w="75" w:type="dxa"/>
            <w:tcBorders/>
            <w:shd w:fill="CCEEFF" w:val="clear"/>
            <w:vAlign w:val="center"/>
          </w:tcPr>
          <w:p>
            <w:pPr>
              <w:pStyle w:val="TableContents"/>
              <w:bidi w:val="0"/>
              <w:spacing w:before="0" w:after="283"/>
              <w:jc w:val="left"/>
              <w:rPr/>
            </w:pPr>
            <w:r>
              <w:rPr/>
              <w:t> </w:t>
            </w:r>
            <w:bookmarkStart w:id="673" w:name="xdx_407_eus-gaap--ShareBasedCompensation"/>
            <w:bookmarkEnd w:id="673"/>
          </w:p>
        </w:tc>
      </w:tr>
      <w:tr>
        <w:trPr/>
        <w:tc>
          <w:tcPr>
            <w:tcW w:w="374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(174,215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674" w:name="xdx_40F_eus-gaap--ShareBasedCompensation"/>
            <w:bookmarkEnd w:id="674"/>
          </w:p>
        </w:tc>
      </w:tr>
      <w:tr>
        <w:trPr/>
        <w:tc>
          <w:tcPr>
            <w:tcW w:w="3740" w:type="dxa"/>
            <w:tcBorders/>
            <w:shd w:fill="CCEEFF" w:val="clear"/>
            <w:vAlign w:val="center"/>
          </w:tcPr>
          <w:p>
            <w:pPr>
              <w:pStyle w:val="TableContents"/>
              <w:bidi w:val="0"/>
              <w:spacing w:before="0" w:after="283"/>
              <w:jc w:val="both"/>
              <w:rPr/>
            </w:pPr>
            <w:r>
              <w:rPr/>
              <w:t>Warrants issued</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75" w:name="xdx_431_c20260101__20260630_eus-gaap--Sh"/>
            <w:bookmarkEnd w:id="675"/>
          </w:p>
        </w:tc>
      </w:tr>
      <w:tr>
        <w:trPr/>
        <w:tc>
          <w:tcPr>
            <w:tcW w:w="3740" w:type="dxa"/>
            <w:tcBorders/>
            <w:shd w:fill="FFFFFF" w:val="clear"/>
            <w:vAlign w:val="center"/>
          </w:tcPr>
          <w:p>
            <w:pPr>
              <w:pStyle w:val="TableContents"/>
              <w:bidi w:val="0"/>
              <w:spacing w:before="0" w:after="283"/>
              <w:jc w:val="left"/>
              <w:rPr/>
            </w:pPr>
            <w:r>
              <w:rPr/>
              <w:t>Warrants Outstanding, June 30, 2026</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bottom w:w="28" w:type="dxa"/>
            </w:tcMar>
            <w:vAlign w:val="center"/>
          </w:tcPr>
          <w:p>
            <w:pPr>
              <w:pStyle w:val="TableContents"/>
              <w:bidi w:val="0"/>
              <w:spacing w:before="0" w:after="283"/>
              <w:jc w:val="right"/>
              <w:rPr/>
            </w:pPr>
            <w:r>
              <w:rPr/>
              <w:t>16,682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double" w:sz="6" w:space="0" w:color="000000"/>
            </w:tcBorders>
            <w:shd w:fill="FFFFFF" w:val="clear"/>
            <w:tcMar>
              <w:bottom w:w="28" w:type="dxa"/>
            </w:tcMar>
            <w:vAlign w:val="center"/>
          </w:tcPr>
          <w:p>
            <w:pPr>
              <w:pStyle w:val="TableContents"/>
              <w:bidi w:val="0"/>
              <w:spacing w:before="0" w:after="283"/>
              <w:jc w:val="right"/>
              <w:rPr/>
            </w:pPr>
            <w:r>
              <w:rPr/>
              <w:t>123,688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76" w:name="xdx_8AC_zetrtsibnrb2"/>
      <w:bookmarkEnd w:id="67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677" w:name="xdx_809_eus-gaap--PreferredStockTextBloc"/>
      <w:bookmarkEnd w:id="677"/>
      <w:r>
        <w:rPr>
          <w:rFonts w:ascii="Times New Roman;Times;Serif" w:hAnsi="Times New Roman;Times;Serif"/>
          <w:b/>
          <w:i w:val="false"/>
          <w:caps/>
          <w:sz w:val="20"/>
        </w:rPr>
        <w:t xml:space="preserve">Note 9 - </w:t>
      </w:r>
      <w:bookmarkStart w:id="678" w:name="xdx_82A_zbPBvwcLstf4"/>
      <w:bookmarkEnd w:id="678"/>
      <w:r>
        <w:rPr>
          <w:rFonts w:ascii="Times New Roman;Times;Serif" w:hAnsi="Times New Roman;Times;Serif"/>
          <w:b/>
          <w:i w:val="false"/>
          <w:caps/>
          <w:sz w:val="20"/>
        </w:rPr>
        <w:t>REDEEMABLE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Series B Convertible Preferred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Series B Convertible Preferred Stock (the “Series B Preferred Stock”) was issued in connection with the Sixth Amendment to the Term Loan entered into on October 20, 2025, pursuant to which $</w:t>
      </w:r>
      <w:bookmarkStart w:id="679" w:name="xdx_90C_eus-gaap--DebtConversionOriginal"/>
      <w:bookmarkEnd w:id="679"/>
      <w:r>
        <w:rPr>
          <w:rFonts w:ascii="Times New Roman;Times;Serif" w:hAnsi="Times New Roman;Times;Serif"/>
          <w:b w:val="false"/>
          <w:i w:val="false"/>
          <w:caps w:val="false"/>
          <w:smallCaps w:val="false"/>
          <w:sz w:val="20"/>
        </w:rPr>
        <w:t xml:space="preserve">25.0 million of outstanding principal was exchanged for </w:t>
      </w:r>
      <w:bookmarkStart w:id="680" w:name="xdx_909_eus-gaap--DebtConversionConverte"/>
      <w:bookmarkEnd w:id="680"/>
      <w:r>
        <w:rPr>
          <w:rFonts w:ascii="Times New Roman;Times;Serif" w:hAnsi="Times New Roman;Times;Serif"/>
          <w:b w:val="false"/>
          <w:i w:val="false"/>
          <w:caps w:val="false"/>
          <w:smallCaps w:val="false"/>
          <w:sz w:val="20"/>
        </w:rPr>
        <w:t>25,000 shares of Series B Preferred Stock with an aggregate liquidation preference of $</w:t>
      </w:r>
      <w:bookmarkStart w:id="681" w:name="xdx_90B_eus-gaap--PreferredStockLiquidat"/>
      <w:bookmarkEnd w:id="681"/>
      <w:r>
        <w:rPr>
          <w:rFonts w:ascii="Times New Roman;Times;Serif" w:hAnsi="Times New Roman;Times;Serif"/>
          <w:b w:val="false"/>
          <w:i w:val="false"/>
          <w:caps w:val="false"/>
          <w:smallCaps w:val="false"/>
          <w:sz w:val="20"/>
        </w:rPr>
        <w:t>25.0 million. The Series B Preferred Stock is non-voting and carries a base liquidation preference of $</w:t>
      </w:r>
      <w:bookmarkStart w:id="682" w:name="xdx_90A_eus-gaap--PreferredStockLiquidat"/>
      <w:bookmarkEnd w:id="682"/>
      <w:r>
        <w:rPr>
          <w:rFonts w:ascii="Times New Roman;Times;Serif" w:hAnsi="Times New Roman;Times;Serif"/>
          <w:b w:val="false"/>
          <w:i w:val="false"/>
          <w:caps w:val="false"/>
          <w:smallCaps w:val="false"/>
          <w:sz w:val="20"/>
        </w:rPr>
        <w:t xml:space="preserve">1,000 per share, plus accrued and unpaid dividends, senior to the Company’s common stock in a liquidation. </w:t>
      </w:r>
      <w:bookmarkStart w:id="683" w:name="xdx_90D_eus-gaap--PreferredStockDividend"/>
      <w:bookmarkEnd w:id="683"/>
      <w:r>
        <w:rPr>
          <w:rFonts w:ascii="Times New Roman;Times;Serif" w:hAnsi="Times New Roman;Times;Serif"/>
          <w:b w:val="false"/>
          <w:i w:val="false"/>
          <w:caps w:val="false"/>
          <w:smallCaps w:val="false"/>
          <w:sz w:val="20"/>
        </w:rPr>
        <w:t>Dividends accrue at 10% per annum, with 80% payable in cash and 20% payable in kind and added to the liquidation preference; any unpaid cash dividends may also be paid in kind and added to the liquidation preference.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B Preferred Stock is convertible, at the holder’s option beginning six months after the original issuance date, into shares of the Company’s common stock at a fixed conversion price of $</w:t>
      </w:r>
      <w:bookmarkStart w:id="684" w:name="xdx_905_eus-gaap--PreferredStockConverti"/>
      <w:bookmarkEnd w:id="684"/>
      <w:r>
        <w:rPr>
          <w:rFonts w:ascii="Times New Roman;Times;Serif" w:hAnsi="Times New Roman;Times;Serif"/>
          <w:b w:val="false"/>
          <w:i w:val="false"/>
          <w:caps w:val="false"/>
          <w:smallCaps w:val="false"/>
          <w:sz w:val="20"/>
        </w:rPr>
        <w:t>31.50 per share, subject to a minimum aggregate value of $</w:t>
      </w:r>
      <w:bookmarkStart w:id="685" w:name="xdx_908_eus-gaap--StockIssuedDuringPerio"/>
      <w:bookmarkEnd w:id="685"/>
      <w:r>
        <w:rPr>
          <w:rFonts w:ascii="Times New Roman;Times;Serif" w:hAnsi="Times New Roman;Times;Serif"/>
          <w:b w:val="false"/>
          <w:i w:val="false"/>
          <w:caps w:val="false"/>
          <w:smallCaps w:val="false"/>
          <w:sz w:val="20"/>
        </w:rPr>
        <w:t>500,000 per conversion (other than a final conversion) and customary beneficial ownership and exchange caps. The Series B Preferred Stock is redeemable at the Company’s option and under certain holder-option and other specified circumstances, generally at a price per share equal to the greater of (i) the liquidation preference (including accrued but unpaid dividends) and (ii) the value on an as-converted basis determined with reference to recent volume-weighted average trading prices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Series B Preferred Stock under ASC 480, Distinguishing Liabilities from Equity, and concluded it is not a liability because it is not mandatorily redeemable and does not otherwise meet the definition of a liability. The host contract was determined to be more akin to debt for purposes of ASC 815, Derivatives and Hedging; the conversion feature is not clearly and closely related to the host but qualifies for the equity classification scope exception because the conversion price is fixed and the instrument is indexed to the Company’s own stock. Because certain redemption rights are not solely within the Company’s control, the Series B Preferred Stock is presented as temporary equity and initially measured at fair value. The carrying amount is being accreted to the redemption value over the expected term, and dividends (cash and paid-in-kind) are recognized as preferred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recognized accreted dividends of $</w:t>
      </w:r>
      <w:bookmarkStart w:id="686" w:name="xdx_907_eus-gaap--TemporaryEquityAccreti"/>
      <w:bookmarkEnd w:id="686"/>
      <w:r>
        <w:rPr>
          <w:rFonts w:ascii="Times New Roman;Times;Serif" w:hAnsi="Times New Roman;Times;Serif"/>
          <w:b w:val="false"/>
          <w:i w:val="false"/>
          <w:caps w:val="false"/>
          <w:smallCaps w:val="false"/>
          <w:sz w:val="20"/>
        </w:rPr>
        <w:t>493 and $</w:t>
      </w:r>
      <w:bookmarkStart w:id="687" w:name="xdx_907_eus-gaap--TemporaryEquityAccreti"/>
      <w:bookmarkEnd w:id="687"/>
      <w:r>
        <w:rPr>
          <w:rFonts w:ascii="Times New Roman;Times;Serif" w:hAnsi="Times New Roman;Times;Serif"/>
          <w:b w:val="false"/>
          <w:i w:val="false"/>
          <w:caps w:val="false"/>
          <w:smallCaps w:val="false"/>
          <w:sz w:val="20"/>
        </w:rPr>
        <w:t>962, respectively, related to the Series B Preferred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688" w:name="xdx_80C_eus-gaap--StockholdersEquityNote"/>
      <w:bookmarkEnd w:id="688"/>
      <w:r>
        <w:rPr>
          <w:rFonts w:ascii="Times New Roman;Times;Serif" w:hAnsi="Times New Roman;Times;Serif"/>
          <w:b/>
          <w:i w:val="false"/>
          <w:caps/>
          <w:sz w:val="20"/>
        </w:rPr>
        <w:t xml:space="preserve">Note 10 - </w:t>
      </w:r>
      <w:bookmarkStart w:id="689" w:name="xdx_826_zerXxzFDB9Nl"/>
      <w:bookmarkEnd w:id="689"/>
      <w:r>
        <w:rPr>
          <w:rFonts w:ascii="Times New Roman;Times;Serif" w:hAnsi="Times New Roman;Times;Serif"/>
          <w:b/>
          <w:i w:val="false"/>
          <w:caps/>
          <w:sz w:val="20"/>
        </w:rPr>
        <w:t>COMMON STOCK</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stockholders are entitled to dividends if and when declared by the Board of Directors subject to the rights of the preferred stockholders. No dividends on common stock have been declared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the Company entered into an Equity Distribution Agreement with Canaccord Genuity LLC, as lead agent and representative of the other sales agents, establishing an at-the-market offering program under which the Company may, from time to time and at its discretion, offer and sell up to $</w:t>
      </w:r>
      <w:bookmarkStart w:id="690" w:name="xdx_902_eus-gaap--SaleOfStockConsiderati"/>
      <w:bookmarkEnd w:id="690"/>
      <w:r>
        <w:rPr>
          <w:rFonts w:ascii="Times New Roman;Times;Serif" w:hAnsi="Times New Roman;Times;Serif"/>
          <w:b w:val="false"/>
          <w:i w:val="false"/>
          <w:caps w:val="false"/>
          <w:smallCaps w:val="false"/>
          <w:sz w:val="20"/>
        </w:rPr>
        <w:t xml:space="preserve">50 million of its common stock. The Company is not obligated to sell any shares under the program and retains sole discretion over the timing, amount, pricing, and other terms of any sales effected through the lead agent. The program is intended to provide the Company with a flexible source of capital to support its liquidity needs and is subject to customary closing conditions, a 3% sales commission and reimbursement of specified expenses payable to the agents, and customary indemnification and contribution provisions. As of June 30, 2026, the Company sold </w:t>
      </w:r>
      <w:bookmarkStart w:id="691" w:name="xdx_90E_eus-gaap--SaleOfStockNumberOfSha"/>
      <w:bookmarkEnd w:id="691"/>
      <w:r>
        <w:rPr>
          <w:rFonts w:ascii="Times New Roman;Times;Serif" w:hAnsi="Times New Roman;Times;Serif"/>
          <w:b w:val="false"/>
          <w:i w:val="false"/>
          <w:caps w:val="false"/>
          <w:smallCaps w:val="false"/>
          <w:sz w:val="20"/>
        </w:rPr>
        <w:t>411,100 shares of common stock for net proceeds of $</w:t>
      </w:r>
      <w:bookmarkStart w:id="692" w:name="xdx_904_eus-gaap--ProceedsFromIssuanceOr"/>
      <w:bookmarkEnd w:id="692"/>
      <w:r>
        <w:rPr>
          <w:rFonts w:ascii="Times New Roman;Times;Serif" w:hAnsi="Times New Roman;Times;Serif"/>
          <w:b w:val="false"/>
          <w:i w:val="false"/>
          <w:caps w:val="false"/>
          <w:smallCaps w:val="false"/>
          <w:sz w:val="20"/>
        </w:rPr>
        <w:t>829.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3" w:name="xdx_899_eus-gaap--ScheduleOfStockholders"/>
      <w:bookmarkEnd w:id="693"/>
      <w:r>
        <w:rPr>
          <w:rFonts w:ascii="Times New Roman;Times;Serif" w:hAnsi="Times New Roman;Times;Serif"/>
          <w:b w:val="false"/>
          <w:i w:val="false"/>
          <w:caps w:val="false"/>
          <w:smallCaps w:val="false"/>
          <w:sz w:val="20"/>
        </w:rPr>
        <w:t>For the six months ended June 30, 2026 and 2025, the Company had reserved shares of common stock for issuance as follows:</w:t>
      </w:r>
    </w:p>
    <w:p>
      <w:pPr>
        <w:pStyle w:val="TextBody"/>
        <w:bidi w:val="0"/>
        <w:spacing w:before="0" w:after="0"/>
        <w:ind w:left="0" w:right="0" w:hanging="0"/>
        <w:jc w:val="both"/>
        <w:rPr>
          <w:caps w:val="false"/>
          <w:smallCaps w:val="false"/>
        </w:rPr>
      </w:pPr>
      <w:r>
        <w:rPr>
          <w:caps w:val="false"/>
          <w:smallCaps w:val="false"/>
        </w:rPr>
        <w:t> </w:t>
      </w:r>
      <w:bookmarkStart w:id="694" w:name="xdx_8BE_zGNf2RxLBRke"/>
      <w:bookmarkEnd w:id="694"/>
      <w:r>
        <w:rPr>
          <w:rFonts w:ascii="Times New Roman;Times;Serif" w:hAnsi="Times New Roman;Times;Serif"/>
          <w:b w:val="false"/>
          <w:i w:val="false"/>
          <w:caps w:val="false"/>
          <w:smallCaps w:val="false"/>
          <w:sz w:val="20"/>
        </w:rPr>
        <w:t>SUMMARY OF RESERVED SHARES OF COMMON STOCK FOR ISSUANCE </w:t>
      </w:r>
    </w:p>
    <w:tbl>
      <w:tblPr>
        <w:tblW w:w="5985" w:type="dxa"/>
        <w:jc w:val="left"/>
        <w:tblInd w:w="0" w:type="dxa"/>
        <w:tblLayout w:type="fixed"/>
        <w:tblCellMar>
          <w:top w:w="0" w:type="dxa"/>
          <w:left w:w="0" w:type="dxa"/>
          <w:bottom w:w="0" w:type="dxa"/>
          <w:right w:w="0" w:type="dxa"/>
        </w:tblCellMar>
      </w:tblPr>
      <w:tblGrid>
        <w:gridCol w:w="3530"/>
        <w:gridCol w:w="60"/>
        <w:gridCol w:w="60"/>
        <w:gridCol w:w="1100"/>
        <w:gridCol w:w="60"/>
        <w:gridCol w:w="60"/>
        <w:gridCol w:w="60"/>
        <w:gridCol w:w="980"/>
        <w:gridCol w:w="75"/>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5" w:name="xdx_49C_20260630_zFNceNb9ZwVa"/>
            <w:bookmarkEnd w:id="695"/>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6" w:name="xdx_490_20250630_zllBoqQJYDZh"/>
            <w:bookmarkEnd w:id="696"/>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June 30,</w:t>
              <w:br/>
              <w:t>2025</w:t>
            </w:r>
          </w:p>
        </w:tc>
        <w:tc>
          <w:tcPr>
            <w:tcW w:w="75" w:type="dxa"/>
            <w:tcBorders/>
            <w:vAlign w:val="center"/>
          </w:tcPr>
          <w:p>
            <w:pPr>
              <w:pStyle w:val="TableContents"/>
              <w:bidi w:val="0"/>
              <w:spacing w:before="0" w:after="283"/>
              <w:jc w:val="left"/>
              <w:rPr/>
            </w:pPr>
            <w:r>
              <w:rPr/>
              <w:t> </w:t>
            </w:r>
            <w:bookmarkStart w:id="697" w:name="xdx_40C_ecustom--ShareBasedCompensationA"/>
            <w:bookmarkEnd w:id="697"/>
          </w:p>
        </w:tc>
      </w:tr>
      <w:tr>
        <w:trPr/>
        <w:tc>
          <w:tcPr>
            <w:tcW w:w="3530" w:type="dxa"/>
            <w:tcBorders/>
            <w:shd w:fill="CCEEFF" w:val="clear"/>
            <w:vAlign w:val="center"/>
          </w:tcPr>
          <w:p>
            <w:pPr>
              <w:pStyle w:val="TableContents"/>
              <w:bidi w:val="0"/>
              <w:spacing w:before="0" w:after="283"/>
              <w:jc w:val="left"/>
              <w:rPr/>
            </w:pPr>
            <w:r>
              <w:rPr/>
              <w:t>Options issued and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128,025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15,825</w:t>
            </w:r>
          </w:p>
        </w:tc>
        <w:tc>
          <w:tcPr>
            <w:tcW w:w="75" w:type="dxa"/>
            <w:tcBorders/>
            <w:shd w:fill="CCEEFF" w:val="clear"/>
            <w:vAlign w:val="center"/>
          </w:tcPr>
          <w:p>
            <w:pPr>
              <w:pStyle w:val="TableContents"/>
              <w:bidi w:val="0"/>
              <w:spacing w:before="0" w:after="283"/>
              <w:jc w:val="left"/>
              <w:rPr/>
            </w:pPr>
            <w:r>
              <w:rPr/>
              <w:t> </w:t>
            </w:r>
            <w:bookmarkStart w:id="698" w:name="xdx_40F_eus-gaap--CommonStockSharesOutst"/>
            <w:bookmarkEnd w:id="698"/>
          </w:p>
        </w:tc>
      </w:tr>
      <w:tr>
        <w:trPr/>
        <w:tc>
          <w:tcPr>
            <w:tcW w:w="3530" w:type="dxa"/>
            <w:tcBorders/>
            <w:shd w:fill="FFFFFF" w:val="clear"/>
            <w:vAlign w:val="center"/>
          </w:tcPr>
          <w:p>
            <w:pPr>
              <w:pStyle w:val="TableContents"/>
              <w:bidi w:val="0"/>
              <w:spacing w:before="0" w:after="283"/>
              <w:jc w:val="left"/>
              <w:rPr/>
            </w:pPr>
            <w:r>
              <w:rPr/>
              <w:t>Common stock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13,353,812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3,742,638</w:t>
            </w:r>
          </w:p>
        </w:tc>
        <w:tc>
          <w:tcPr>
            <w:tcW w:w="75" w:type="dxa"/>
            <w:tcBorders/>
            <w:shd w:fill="FFFFFF" w:val="clear"/>
            <w:vAlign w:val="center"/>
          </w:tcPr>
          <w:p>
            <w:pPr>
              <w:pStyle w:val="TableContents"/>
              <w:bidi w:val="0"/>
              <w:spacing w:before="0" w:after="283"/>
              <w:jc w:val="left"/>
              <w:rPr/>
            </w:pPr>
            <w:r>
              <w:rPr/>
              <w:t> </w:t>
            </w:r>
            <w:bookmarkStart w:id="699" w:name="xdx_40C_eus-gaap--ClassOfWarrantOrRightO"/>
            <w:bookmarkEnd w:id="699"/>
          </w:p>
        </w:tc>
      </w:tr>
      <w:tr>
        <w:trPr/>
        <w:tc>
          <w:tcPr>
            <w:tcW w:w="3530" w:type="dxa"/>
            <w:tcBorders/>
            <w:shd w:fill="CCEEFF" w:val="clear"/>
            <w:vAlign w:val="center"/>
          </w:tcPr>
          <w:p>
            <w:pPr>
              <w:pStyle w:val="TableContents"/>
              <w:bidi w:val="0"/>
              <w:spacing w:before="0" w:after="283"/>
              <w:jc w:val="left"/>
              <w:rPr/>
            </w:pPr>
            <w:r>
              <w:rPr/>
              <w:t>Warrants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251,401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425,616</w:t>
            </w:r>
          </w:p>
        </w:tc>
        <w:tc>
          <w:tcPr>
            <w:tcW w:w="75" w:type="dxa"/>
            <w:tcBorders/>
            <w:shd w:fill="CCEEFF" w:val="clear"/>
            <w:vAlign w:val="center"/>
          </w:tcPr>
          <w:p>
            <w:pPr>
              <w:pStyle w:val="TableContents"/>
              <w:bidi w:val="0"/>
              <w:spacing w:before="0" w:after="283"/>
              <w:jc w:val="left"/>
              <w:rPr/>
            </w:pPr>
            <w:r>
              <w:rPr/>
              <w:t> </w:t>
            </w:r>
            <w:bookmarkStart w:id="700" w:name="xdx_40F_ecustom--EarnoutShares_iI_pid_z2"/>
            <w:bookmarkEnd w:id="700"/>
          </w:p>
        </w:tc>
      </w:tr>
      <w:tr>
        <w:trPr/>
        <w:tc>
          <w:tcPr>
            <w:tcW w:w="3530" w:type="dxa"/>
            <w:tcBorders/>
            <w:shd w:fill="FFFFFF" w:val="clear"/>
            <w:vAlign w:val="center"/>
          </w:tcPr>
          <w:p>
            <w:pPr>
              <w:pStyle w:val="TableContents"/>
              <w:bidi w:val="0"/>
              <w:spacing w:before="0" w:after="283"/>
              <w:jc w:val="left"/>
              <w:rPr/>
            </w:pPr>
            <w:r>
              <w:rPr/>
              <w:t>Earnout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277,778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277,778</w:t>
            </w:r>
          </w:p>
        </w:tc>
        <w:tc>
          <w:tcPr>
            <w:tcW w:w="75" w:type="dxa"/>
            <w:tcBorders/>
            <w:shd w:fill="FFFFFF" w:val="clear"/>
            <w:vAlign w:val="center"/>
          </w:tcPr>
          <w:p>
            <w:pPr>
              <w:pStyle w:val="TableContents"/>
              <w:bidi w:val="0"/>
              <w:spacing w:before="0" w:after="283"/>
              <w:jc w:val="left"/>
              <w:rPr/>
            </w:pPr>
            <w:r>
              <w:rPr/>
              <w:t> </w:t>
            </w:r>
            <w:bookmarkStart w:id="701" w:name="xdx_40A_ecustom--SeriesPreferredStockOut"/>
            <w:bookmarkEnd w:id="701"/>
          </w:p>
        </w:tc>
      </w:tr>
      <w:tr>
        <w:trPr/>
        <w:tc>
          <w:tcPr>
            <w:tcW w:w="3530" w:type="dxa"/>
            <w:tcBorders/>
            <w:shd w:fill="CCEEFF" w:val="clear"/>
            <w:vAlign w:val="center"/>
          </w:tcPr>
          <w:p>
            <w:pPr>
              <w:pStyle w:val="TableContents"/>
              <w:bidi w:val="0"/>
              <w:spacing w:before="0" w:after="283"/>
              <w:jc w:val="left"/>
              <w:rPr/>
            </w:pPr>
            <w:r>
              <w:rPr/>
              <w:t>Series A Preferred Stock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231,784</w:t>
            </w:r>
          </w:p>
        </w:tc>
        <w:tc>
          <w:tcPr>
            <w:tcW w:w="75" w:type="dxa"/>
            <w:tcBorders/>
            <w:shd w:fill="CCEEFF" w:val="clear"/>
            <w:vAlign w:val="center"/>
          </w:tcPr>
          <w:p>
            <w:pPr>
              <w:pStyle w:val="TableContents"/>
              <w:bidi w:val="0"/>
              <w:spacing w:before="0" w:after="283"/>
              <w:jc w:val="left"/>
              <w:rPr/>
            </w:pPr>
            <w:r>
              <w:rPr/>
              <w:t> </w:t>
            </w:r>
            <w:bookmarkStart w:id="702" w:name="xdx_40D_eus-gaap--ShareBasedCompensation"/>
            <w:bookmarkEnd w:id="702"/>
          </w:p>
        </w:tc>
      </w:tr>
      <w:tr>
        <w:trPr/>
        <w:tc>
          <w:tcPr>
            <w:tcW w:w="3530" w:type="dxa"/>
            <w:tcBorders/>
            <w:shd w:fill="FFFFFF" w:val="clear"/>
            <w:vAlign w:val="center"/>
          </w:tcPr>
          <w:p>
            <w:pPr>
              <w:pStyle w:val="TableContents"/>
              <w:bidi w:val="0"/>
              <w:spacing w:before="0" w:after="283"/>
              <w:jc w:val="left"/>
              <w:rPr/>
            </w:pPr>
            <w:r>
              <w:rPr/>
              <w:t>Shares available for future issuance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928,596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118,925</w:t>
            </w:r>
          </w:p>
        </w:tc>
        <w:tc>
          <w:tcPr>
            <w:tcW w:w="75" w:type="dxa"/>
            <w:tcBorders/>
            <w:shd w:fill="FFFFFF" w:val="clear"/>
            <w:vAlign w:val="center"/>
          </w:tcPr>
          <w:p>
            <w:pPr>
              <w:pStyle w:val="TableContents"/>
              <w:bidi w:val="0"/>
              <w:spacing w:before="0" w:after="283"/>
              <w:jc w:val="left"/>
              <w:rPr/>
            </w:pPr>
            <w:r>
              <w:rPr/>
              <w:t> </w:t>
            </w:r>
            <w:bookmarkStart w:id="703" w:name="xdx_407_eus-gaap--CommonStockCapitalShar"/>
            <w:bookmarkEnd w:id="703"/>
          </w:p>
        </w:tc>
      </w:tr>
      <w:tr>
        <w:trPr/>
        <w:tc>
          <w:tcPr>
            <w:tcW w:w="353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14,939,612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4,812,566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04" w:name="xdx_8AF_zZrzkmlLSvi9"/>
      <w:bookmarkEnd w:id="70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705" w:name="xdx_80C_eus-gaap--DisclosureOfCompensati"/>
      <w:bookmarkEnd w:id="705"/>
      <w:r>
        <w:rPr>
          <w:rFonts w:ascii="Times New Roman;Times;Serif" w:hAnsi="Times New Roman;Times;Serif"/>
          <w:b/>
          <w:i w:val="false"/>
          <w:caps/>
          <w:sz w:val="20"/>
        </w:rPr>
        <w:t xml:space="preserve">Note 11 - </w:t>
      </w:r>
      <w:bookmarkStart w:id="706" w:name="xdx_82B_zAWZBb2TiPE3"/>
      <w:bookmarkEnd w:id="706"/>
      <w:r>
        <w:rPr>
          <w:rFonts w:ascii="Times New Roman;Times;Serif" w:hAnsi="Times New Roman;Times;Serif"/>
          <w:b/>
          <w:i w:val="false"/>
          <w:caps/>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15, 2025 at the 2025 Annual Meeting of Stockholders (the “Annual Meeting”) of the Company, the Company’s stockholders approved an amendment (the “Plan Amendment”) to the Company’s 2022 Equity Incentive Plan (the “2022 Plan”) increasing the number of shares available for issuance under the 2022 Plan by </w:t>
      </w:r>
      <w:bookmarkStart w:id="707" w:name="xdx_90E_eus-gaap--ShareBasedCompensation"/>
      <w:bookmarkEnd w:id="707"/>
      <w:r>
        <w:rPr>
          <w:rFonts w:ascii="Times New Roman;Times;Serif" w:hAnsi="Times New Roman;Times;Serif"/>
          <w:b w:val="false"/>
          <w:i w:val="false"/>
          <w:caps w:val="false"/>
          <w:smallCaps w:val="false"/>
          <w:sz w:val="20"/>
        </w:rPr>
        <w:t>900,000 shares. The Plan Amendment became effective following its approval by the Company’s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maintains the Dragonfly Energy Holdings Corp. Employee Stock Purchase Plan (the “ESPP”) which is designed to allow eligible employees and the eligible employees of the Company’s participating subsidiaries to purchase shares of the Company’s common stock, at semi-annual intervals, with their accumulated payroll deductions. A total of </w:t>
      </w:r>
      <w:bookmarkStart w:id="708" w:name="xdx_903_eus-gaap--CommonStockCapitalShar"/>
      <w:bookmarkEnd w:id="708"/>
      <w:r>
        <w:rPr>
          <w:rFonts w:ascii="Times New Roman;Times;Serif" w:hAnsi="Times New Roman;Times;Serif"/>
          <w:b w:val="false"/>
          <w:i w:val="false"/>
          <w:caps w:val="false"/>
          <w:smallCaps w:val="false"/>
          <w:sz w:val="20"/>
        </w:rPr>
        <w:t xml:space="preserve">27,382 shares of the Company’s common stock were initially available for issuance under the ESPP. </w:t>
      </w:r>
      <w:bookmarkStart w:id="709" w:name="xdx_90E_eus-gaap--ShareBasedCompensation"/>
      <w:bookmarkEnd w:id="709"/>
      <w:r>
        <w:rPr>
          <w:rFonts w:ascii="Times New Roman;Times;Serif" w:hAnsi="Times New Roman;Times;Serif"/>
          <w:b w:val="false"/>
          <w:i w:val="false"/>
          <w:caps w:val="false"/>
          <w:smallCaps w:val="false"/>
          <w:sz w:val="20"/>
        </w:rPr>
        <w:t>The share limit will automatically increase on the first trading day in January of each year by an amount equal to lesser of (1) 1% of the total number of outstanding shares of the Company’s common stock on December 31 in the prior year, (2) 16,667 shares, or (3) such number as determined by the Company’s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10" w:name="xdx_89A_eus-gaap--ScheduleOfShareBasedCo"/>
      <w:bookmarkEnd w:id="710"/>
      <w:r>
        <w:rPr>
          <w:rFonts w:ascii="Times New Roman;Times;Serif" w:hAnsi="Times New Roman;Times;Serif"/>
          <w:b w:val="false"/>
          <w:i w:val="false"/>
          <w:caps w:val="false"/>
          <w:smallCaps w:val="false"/>
          <w:sz w:val="20"/>
        </w:rPr>
        <w:t>A summary of the Company’s option activity and related information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11" w:name="xdx_8B2_zW5R6lZ7nJbe"/>
      <w:bookmarkEnd w:id="711"/>
      <w:r>
        <w:rPr>
          <w:rFonts w:ascii="Times New Roman;Times;Serif" w:hAnsi="Times New Roman;Times;Serif"/>
          <w:b w:val="false"/>
          <w:i w:val="false"/>
          <w:caps w:val="false"/>
          <w:smallCaps w:val="false"/>
          <w:sz w:val="20"/>
        </w:rPr>
        <w:t>SCHEDULE OF OPTION ACTIVITY AND RELATED INFORMATION  </w:t>
      </w:r>
    </w:p>
    <w:tbl>
      <w:tblPr>
        <w:tblW w:w="8643" w:type="dxa"/>
        <w:jc w:val="left"/>
        <w:tblInd w:w="0" w:type="dxa"/>
        <w:tblLayout w:type="fixed"/>
        <w:tblCellMar>
          <w:top w:w="0" w:type="dxa"/>
          <w:left w:w="0" w:type="dxa"/>
          <w:bottom w:w="0" w:type="dxa"/>
          <w:right w:w="0" w:type="dxa"/>
        </w:tblCellMar>
      </w:tblPr>
      <w:tblGrid>
        <w:gridCol w:w="2675"/>
        <w:gridCol w:w="60"/>
        <w:gridCol w:w="77"/>
        <w:gridCol w:w="1037"/>
        <w:gridCol w:w="95"/>
        <w:gridCol w:w="60"/>
        <w:gridCol w:w="172"/>
        <w:gridCol w:w="838"/>
        <w:gridCol w:w="60"/>
        <w:gridCol w:w="60"/>
        <w:gridCol w:w="182"/>
        <w:gridCol w:w="887"/>
        <w:gridCol w:w="60"/>
        <w:gridCol w:w="60"/>
        <w:gridCol w:w="133"/>
        <w:gridCol w:w="982"/>
        <w:gridCol w:w="60"/>
        <w:gridCol w:w="60"/>
        <w:gridCol w:w="215"/>
        <w:gridCol w:w="795"/>
        <w:gridCol w:w="75"/>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Number of </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pPr>
            <w:r>
              <w:rPr/>
              <w:t>Weighted-</w:t>
              <w:br/>
              <w:t>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pPr>
            <w:r>
              <w:rPr/>
              <w:t>Weighted-</w:t>
              <w:br/>
              <w:t>Average</w:t>
              <w:br/>
              <w:t>Grant Date</w:t>
              <w:b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Weighted-</w:t>
              <w:br/>
              <w:t>Average</w:t>
              <w:br/>
              <w:t>Remaining</w:t>
              <w:br/>
              <w:t>Contractual</w:t>
              <w:br/>
              <w:t>Life (in</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pPr>
            <w:r>
              <w:rPr/>
              <w:t>Aggregate</w:t>
              <w:br/>
              <w:t xml:space="preserve">intrinsic </w:t>
              <w:br/>
              <w:t>value</w:t>
            </w:r>
          </w:p>
        </w:tc>
        <w:tc>
          <w:tcPr>
            <w:tcW w:w="7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both"/>
              <w:rPr/>
            </w:pPr>
            <w:r>
              <w:rPr/>
              <w:t>Balances, January 1, 2026</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712" w:name="xdx_987_eus-gaap--ShareBasedCompensation"/>
            <w:bookmarkEnd w:id="712"/>
          </w:p>
        </w:tc>
        <w:tc>
          <w:tcPr>
            <w:tcW w:w="1037" w:type="dxa"/>
            <w:tcBorders/>
            <w:shd w:fill="CCEEFF" w:val="clear"/>
            <w:vAlign w:val="center"/>
          </w:tcPr>
          <w:p>
            <w:pPr>
              <w:pStyle w:val="TableContents"/>
              <w:bidi w:val="0"/>
              <w:spacing w:before="0" w:after="283"/>
              <w:jc w:val="right"/>
              <w:rPr/>
            </w:pPr>
            <w:r>
              <w:rPr/>
              <w:t>13,407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bookmarkStart w:id="713" w:name="xdx_98D_eus-gaap--ShareBasedCompensation"/>
            <w:bookmarkEnd w:id="713"/>
          </w:p>
        </w:tc>
        <w:tc>
          <w:tcPr>
            <w:tcW w:w="838" w:type="dxa"/>
            <w:tcBorders/>
            <w:shd w:fill="CCEEFF" w:val="clear"/>
            <w:vAlign w:val="center"/>
          </w:tcPr>
          <w:p>
            <w:pPr>
              <w:pStyle w:val="TableContents"/>
              <w:bidi w:val="0"/>
              <w:spacing w:before="0" w:after="283"/>
              <w:jc w:val="right"/>
              <w:rPr/>
            </w:pPr>
            <w:r>
              <w:rPr/>
              <w:t>241.49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bookmarkStart w:id="714" w:name="xdx_982_eus-gaap--SharebasedCompensation"/>
            <w:bookmarkEnd w:id="714"/>
          </w:p>
        </w:tc>
        <w:tc>
          <w:tcPr>
            <w:tcW w:w="887" w:type="dxa"/>
            <w:tcBorders/>
            <w:shd w:fill="CCEEFF" w:val="clear"/>
            <w:vAlign w:val="center"/>
          </w:tcPr>
          <w:p>
            <w:pPr>
              <w:pStyle w:val="TableContents"/>
              <w:bidi w:val="0"/>
              <w:spacing w:before="0" w:after="283"/>
              <w:jc w:val="right"/>
              <w:rPr/>
            </w:pPr>
            <w:r>
              <w:rPr/>
              <w:t>240.31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bookmarkStart w:id="715" w:name="xdx_905_eus-gaap--SharebasedCompensation"/>
            <w:bookmarkEnd w:id="715"/>
            <w:r>
              <w:rPr/>
              <w:t>5.64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716" w:name="xdx_980_eus-gaap--ShareBasedCompensation"/>
            <w:bookmarkEnd w:id="716"/>
          </w:p>
        </w:tc>
        <w:tc>
          <w:tcPr>
            <w:tcW w:w="795"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both"/>
              <w:rPr/>
            </w:pPr>
            <w:r>
              <w:rPr/>
              <w:t>Options granted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bookmarkStart w:id="717" w:name="xdx_980_eus-gaap--ShareBasedCompensation"/>
            <w:bookmarkEnd w:id="717"/>
          </w:p>
        </w:tc>
        <w:tc>
          <w:tcPr>
            <w:tcW w:w="1037" w:type="dxa"/>
            <w:tcBorders/>
            <w:shd w:fill="FFFFFF" w:val="clear"/>
            <w:vAlign w:val="center"/>
          </w:tcPr>
          <w:p>
            <w:pPr>
              <w:pStyle w:val="TableContents"/>
              <w:bidi w:val="0"/>
              <w:spacing w:before="0" w:after="283"/>
              <w:jc w:val="right"/>
              <w:rPr/>
            </w:pPr>
            <w:r>
              <w:rPr/>
              <w:t>116,713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bookmarkStart w:id="718" w:name="xdx_989_eus-gaap--ShareBasedCompensation"/>
            <w:bookmarkEnd w:id="718"/>
          </w:p>
        </w:tc>
        <w:tc>
          <w:tcPr>
            <w:tcW w:w="838" w:type="dxa"/>
            <w:tcBorders/>
            <w:shd w:fill="FFFFFF" w:val="clear"/>
            <w:vAlign w:val="center"/>
          </w:tcPr>
          <w:p>
            <w:pPr>
              <w:pStyle w:val="TableContents"/>
              <w:bidi w:val="0"/>
              <w:spacing w:before="0" w:after="283"/>
              <w:jc w:val="right"/>
              <w:rPr/>
            </w:pPr>
            <w:r>
              <w:rPr/>
              <w:t>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bookmarkStart w:id="719" w:name="xdx_98B_eus-gaap--ShareBasedCompensation"/>
            <w:bookmarkEnd w:id="719"/>
          </w:p>
        </w:tc>
        <w:tc>
          <w:tcPr>
            <w:tcW w:w="887" w:type="dxa"/>
            <w:tcBorders/>
            <w:shd w:fill="FFFFFF" w:val="clear"/>
            <w:vAlign w:val="center"/>
          </w:tcPr>
          <w:p>
            <w:pPr>
              <w:pStyle w:val="TableContents"/>
              <w:bidi w:val="0"/>
              <w:spacing w:before="0" w:after="283"/>
              <w:jc w:val="right"/>
              <w:rPr/>
            </w:pPr>
            <w:r>
              <w:rPr/>
              <w:t>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bookmarkStart w:id="720" w:name="xdx_90F_ecustom--SharebasedCompensationA"/>
            <w:bookmarkEnd w:id="720"/>
            <w:r>
              <w:rPr/>
              <w:t>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bookmarkStart w:id="721" w:name="xdx_98A_eus-gaap--ShareBasedCompensation"/>
            <w:bookmarkEnd w:id="721"/>
          </w:p>
        </w:tc>
        <w:tc>
          <w:tcPr>
            <w:tcW w:w="79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both"/>
              <w:rPr/>
            </w:pPr>
            <w:r>
              <w:rPr/>
              <w:t>Options forfeited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722" w:name="xdx_986_eus-gaap--ShareBasedCompensation"/>
            <w:bookmarkEnd w:id="722"/>
          </w:p>
        </w:tc>
        <w:tc>
          <w:tcPr>
            <w:tcW w:w="1037"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bookmarkStart w:id="723" w:name="xdx_98B_eus-gaap--ShareBasedCompensation"/>
            <w:bookmarkEnd w:id="723"/>
          </w:p>
        </w:tc>
        <w:tc>
          <w:tcPr>
            <w:tcW w:w="838" w:type="dxa"/>
            <w:tcBorders/>
            <w:shd w:fill="CCEEFF" w:val="clear"/>
            <w:vAlign w:val="center"/>
          </w:tcPr>
          <w:p>
            <w:pPr>
              <w:pStyle w:val="TableContents"/>
              <w:bidi w:val="0"/>
              <w:spacing w:before="0" w:after="283"/>
              <w:jc w:val="right"/>
              <w:rPr/>
            </w:pPr>
            <w:r>
              <w:rPr/>
              <w:t>640.80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bookmarkStart w:id="724" w:name="xdx_986_eus-gaap--SharebasedCompensation"/>
            <w:bookmarkEnd w:id="724"/>
          </w:p>
        </w:tc>
        <w:tc>
          <w:tcPr>
            <w:tcW w:w="887" w:type="dxa"/>
            <w:tcBorders/>
            <w:shd w:fill="CCEEFF" w:val="clear"/>
            <w:vAlign w:val="center"/>
          </w:tcPr>
          <w:p>
            <w:pPr>
              <w:pStyle w:val="TableContents"/>
              <w:bidi w:val="0"/>
              <w:spacing w:before="0" w:after="283"/>
              <w:jc w:val="right"/>
              <w:rPr/>
            </w:pPr>
            <w:r>
              <w:rPr/>
              <w:t>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bookmarkStart w:id="725" w:name="xdx_988_ecustom--ShareBasedCompensationA"/>
            <w:bookmarkEnd w:id="725"/>
          </w:p>
        </w:tc>
        <w:tc>
          <w:tcPr>
            <w:tcW w:w="79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both"/>
              <w:rPr/>
            </w:pPr>
            <w:r>
              <w:rPr/>
              <w:t>Options expired</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26" w:name="xdx_983_eus-gaap--ShareBasedCompensation"/>
            <w:bookmarkEnd w:id="726"/>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(2,085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27" w:name="xdx_984_eus-gaap--ShareBasedCompensation"/>
            <w:bookmarkEnd w:id="727"/>
          </w:p>
        </w:tc>
        <w:tc>
          <w:tcPr>
            <w:tcW w:w="838" w:type="dxa"/>
            <w:tcBorders>
              <w:bottom w:val="single" w:sz="8" w:space="0" w:color="000000"/>
            </w:tcBorders>
            <w:shd w:fill="FFFFFF" w:val="clear"/>
            <w:tcMar>
              <w:bottom w:w="28" w:type="dxa"/>
            </w:tcMar>
            <w:vAlign w:val="center"/>
          </w:tcPr>
          <w:p>
            <w:pPr>
              <w:pStyle w:val="TableContents"/>
              <w:bidi w:val="0"/>
              <w:spacing w:before="0" w:after="283"/>
              <w:jc w:val="right"/>
              <w:rPr/>
            </w:pPr>
            <w:r>
              <w:rPr/>
              <w:t>190.04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28" w:name="xdx_98F_ecustom--SharebasedCompensationA"/>
            <w:bookmarkEnd w:id="728"/>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pPr>
            <w:r>
              <w:rPr/>
              <w:t>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29" w:name="xdx_98C_ecustom--ShareBasedCompensationA"/>
            <w:bookmarkEnd w:id="729"/>
          </w:p>
        </w:tc>
        <w:tc>
          <w:tcPr>
            <w:tcW w:w="7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both"/>
              <w:rPr/>
            </w:pPr>
            <w:r>
              <w:rPr/>
              <w:t>Balances, June 30, 2026</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30" w:name="xdx_987_eus-gaap--ShareBasedCompensation"/>
            <w:bookmarkEnd w:id="730"/>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pPr>
            <w:r>
              <w:rPr/>
              <w:t>128,025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31" w:name="xdx_984_eus-gaap--ShareBasedCompensation"/>
            <w:bookmarkEnd w:id="731"/>
          </w:p>
        </w:tc>
        <w:tc>
          <w:tcPr>
            <w:tcW w:w="838" w:type="dxa"/>
            <w:tcBorders>
              <w:bottom w:val="double" w:sz="6" w:space="0" w:color="000000"/>
            </w:tcBorders>
            <w:shd w:fill="CCEEFF" w:val="clear"/>
            <w:tcMar>
              <w:bottom w:w="28" w:type="dxa"/>
            </w:tcMar>
            <w:vAlign w:val="center"/>
          </w:tcPr>
          <w:p>
            <w:pPr>
              <w:pStyle w:val="TableContents"/>
              <w:bidi w:val="0"/>
              <w:spacing w:before="0" w:after="283"/>
              <w:jc w:val="right"/>
              <w:rPr/>
            </w:pPr>
            <w:r>
              <w:rPr/>
              <w:t>24.87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32" w:name="xdx_981_eus-gaap--SharebasedCompensation"/>
            <w:bookmarkEnd w:id="732"/>
          </w:p>
        </w:tc>
        <w:tc>
          <w:tcPr>
            <w:tcW w:w="887" w:type="dxa"/>
            <w:tcBorders>
              <w:bottom w:val="double" w:sz="6" w:space="0" w:color="000000"/>
            </w:tcBorders>
            <w:shd w:fill="CCEEFF" w:val="clear"/>
            <w:tcMar>
              <w:bottom w:w="28" w:type="dxa"/>
            </w:tcMar>
            <w:vAlign w:val="center"/>
          </w:tcPr>
          <w:p>
            <w:pPr>
              <w:pStyle w:val="TableContents"/>
              <w:bidi w:val="0"/>
              <w:spacing w:before="0" w:after="283"/>
              <w:jc w:val="right"/>
              <w:rPr/>
            </w:pPr>
            <w:r>
              <w:rPr/>
              <w:t>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733" w:name="xdx_907_eus-gaap--SharebasedCompensation"/>
            <w:bookmarkEnd w:id="733"/>
            <w:r>
              <w:rPr/>
              <w:t>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34" w:name="xdx_981_eus-gaap--ShareBasedCompensation"/>
            <w:bookmarkEnd w:id="734"/>
          </w:p>
        </w:tc>
        <w:tc>
          <w:tcPr>
            <w:tcW w:w="7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both"/>
              <w:rPr/>
            </w:pPr>
            <w:r>
              <w:rPr/>
              <w:t>At June 30, 2026</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both"/>
              <w:rPr/>
            </w:pPr>
            <w:r>
              <w:rPr/>
              <w:t>Vested and Exercisable</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bookmarkStart w:id="735" w:name="xdx_984_eus-gaap--ShareBasedCompensation"/>
            <w:bookmarkEnd w:id="735"/>
          </w:p>
        </w:tc>
        <w:tc>
          <w:tcPr>
            <w:tcW w:w="1037" w:type="dxa"/>
            <w:tcBorders/>
            <w:shd w:fill="FFFFFF" w:val="clear"/>
            <w:vAlign w:val="center"/>
          </w:tcPr>
          <w:p>
            <w:pPr>
              <w:pStyle w:val="TableContents"/>
              <w:bidi w:val="0"/>
              <w:spacing w:before="0" w:after="283"/>
              <w:jc w:val="right"/>
              <w:rPr/>
            </w:pPr>
            <w:r>
              <w:rPr/>
              <w:t>50,204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bookmarkStart w:id="736" w:name="xdx_98B_eus-gaap--ShareBasedCompensation"/>
            <w:bookmarkEnd w:id="736"/>
          </w:p>
        </w:tc>
        <w:tc>
          <w:tcPr>
            <w:tcW w:w="838" w:type="dxa"/>
            <w:tcBorders/>
            <w:shd w:fill="FFFFFF" w:val="clear"/>
            <w:vAlign w:val="center"/>
          </w:tcPr>
          <w:p>
            <w:pPr>
              <w:pStyle w:val="TableContents"/>
              <w:bidi w:val="0"/>
              <w:spacing w:before="0" w:after="283"/>
              <w:jc w:val="right"/>
              <w:rPr/>
            </w:pPr>
            <w:r>
              <w:rPr/>
              <w:t>58.65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bookmarkStart w:id="737" w:name="xdx_904_eus-gaap--SharebasedCompensation"/>
            <w:bookmarkEnd w:id="737"/>
            <w:r>
              <w:rPr/>
              <w:t>8.67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bookmarkStart w:id="738" w:name="xdx_985_eus-gaap--ShareBasedCompensation"/>
            <w:bookmarkEnd w:id="738"/>
          </w:p>
        </w:tc>
        <w:tc>
          <w:tcPr>
            <w:tcW w:w="79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both"/>
              <w:rPr/>
            </w:pPr>
            <w:r>
              <w:rPr/>
              <w:t>Vested and expected to vest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739" w:name="xdx_982_eus-gaap--ShareBasedCompensation"/>
            <w:bookmarkEnd w:id="739"/>
          </w:p>
        </w:tc>
        <w:tc>
          <w:tcPr>
            <w:tcW w:w="1037" w:type="dxa"/>
            <w:tcBorders/>
            <w:shd w:fill="CCEEFF" w:val="clear"/>
            <w:vAlign w:val="center"/>
          </w:tcPr>
          <w:p>
            <w:pPr>
              <w:pStyle w:val="TableContents"/>
              <w:bidi w:val="0"/>
              <w:spacing w:before="0" w:after="283"/>
              <w:jc w:val="right"/>
              <w:rPr/>
            </w:pPr>
            <w:r>
              <w:rPr/>
              <w:t>128,025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bookmarkStart w:id="740" w:name="xdx_983_eus-gaap--ShareBasedCompensation"/>
            <w:bookmarkEnd w:id="740"/>
          </w:p>
        </w:tc>
        <w:tc>
          <w:tcPr>
            <w:tcW w:w="838" w:type="dxa"/>
            <w:tcBorders/>
            <w:shd w:fill="CCEEFF" w:val="clear"/>
            <w:vAlign w:val="center"/>
          </w:tcPr>
          <w:p>
            <w:pPr>
              <w:pStyle w:val="TableContents"/>
              <w:bidi w:val="0"/>
              <w:spacing w:before="0" w:after="283"/>
              <w:jc w:val="right"/>
              <w:rPr/>
            </w:pPr>
            <w:r>
              <w:rPr/>
              <w:t>24.87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bookmarkStart w:id="741" w:name="xdx_908_eus-gaap--SharebasedCompensation"/>
            <w:bookmarkEnd w:id="741"/>
            <w:r>
              <w:rPr/>
              <w:t>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742" w:name="xdx_98B_eus-gaap--ShareBasedCompensation"/>
            <w:bookmarkEnd w:id="742"/>
          </w:p>
        </w:tc>
        <w:tc>
          <w:tcPr>
            <w:tcW w:w="79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43" w:name="xdx_8A5_zFiEhoLihZ4k"/>
      <w:bookmarkEnd w:id="74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issued </w:t>
      </w:r>
      <w:bookmarkStart w:id="744" w:name="xdx_90C_eus-gaap--ShareBasedCompensation"/>
      <w:bookmarkEnd w:id="744"/>
      <w:r>
        <w:rPr>
          <w:rFonts w:ascii="Times New Roman;Times;Serif" w:hAnsi="Times New Roman;Times;Serif"/>
          <w:b w:val="false"/>
          <w:i w:val="false"/>
          <w:caps w:val="false"/>
          <w:smallCaps w:val="false"/>
          <w:sz w:val="20"/>
        </w:rPr>
        <w:t xml:space="preserve">116,713 stock options. During the six months ended June 30, 2025, the Company did </w:t>
      </w:r>
      <w:bookmarkStart w:id="745" w:name="xdx_90D_eus-gaap--ShareBasedCompensation"/>
      <w:bookmarkEnd w:id="745"/>
      <w:r>
        <w:rPr>
          <w:rFonts w:ascii="Times New Roman;Times;Serif" w:hAnsi="Times New Roman;Times;Serif"/>
          <w:b w:val="false"/>
          <w:i w:val="false"/>
          <w:caps w:val="false"/>
          <w:smallCaps w:val="false"/>
          <w:sz w:val="20"/>
        </w:rPr>
        <w:t>not issue any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for options and RSUs totaling $</w:t>
      </w:r>
      <w:bookmarkStart w:id="746" w:name="xdx_90A_eus-gaap--ShareBasedCompensation"/>
      <w:bookmarkEnd w:id="746"/>
      <w:r>
        <w:rPr>
          <w:rFonts w:ascii="Times New Roman;Times;Serif" w:hAnsi="Times New Roman;Times;Serif"/>
          <w:b w:val="false"/>
          <w:i w:val="false"/>
          <w:caps w:val="false"/>
          <w:smallCaps w:val="false"/>
          <w:sz w:val="20"/>
        </w:rPr>
        <w:t>461 and $</w:t>
      </w:r>
      <w:bookmarkStart w:id="747" w:name="xdx_906_eus-gaap--ShareBasedCompensation"/>
      <w:bookmarkEnd w:id="747"/>
      <w:r>
        <w:rPr>
          <w:rFonts w:ascii="Times New Roman;Times;Serif" w:hAnsi="Times New Roman;Times;Serif"/>
          <w:b w:val="false"/>
          <w:i w:val="false"/>
          <w:caps w:val="false"/>
          <w:smallCaps w:val="false"/>
          <w:sz w:val="20"/>
        </w:rPr>
        <w:t>190 was recognized in the Company’s consolidated statements of operations for the three months ended June 30, 2026 and 2025, respectively. Share-based compensation expense for options and RSUs totaling $</w:t>
      </w:r>
      <w:bookmarkStart w:id="748" w:name="xdx_900_eus-gaap--ShareBasedCompensation"/>
      <w:bookmarkEnd w:id="748"/>
      <w:r>
        <w:rPr>
          <w:rFonts w:ascii="Times New Roman;Times;Serif" w:hAnsi="Times New Roman;Times;Serif"/>
          <w:b w:val="false"/>
          <w:i w:val="false"/>
          <w:caps w:val="false"/>
          <w:smallCaps w:val="false"/>
          <w:sz w:val="20"/>
        </w:rPr>
        <w:t>561 and $</w:t>
      </w:r>
      <w:bookmarkStart w:id="749" w:name="xdx_90F_eus-gaap--ShareBasedCompensation"/>
      <w:bookmarkEnd w:id="749"/>
      <w:r>
        <w:rPr>
          <w:rFonts w:ascii="Times New Roman;Times;Serif" w:hAnsi="Times New Roman;Times;Serif"/>
          <w:b w:val="false"/>
          <w:i w:val="false"/>
          <w:caps w:val="false"/>
          <w:smallCaps w:val="false"/>
          <w:sz w:val="20"/>
        </w:rPr>
        <w:t>410 was recognized in the Company’s consolidated statements of operations for the six months ended June 30, 2026 and 2025, respectively.</w:t>
      </w:r>
    </w:p>
    <w:p>
      <w:pPr>
        <w:pStyle w:val="TextBody"/>
        <w:bidi w:val="0"/>
        <w:spacing w:before="0" w:after="0"/>
        <w:ind w:left="0" w:right="0" w:hanging="0"/>
        <w:jc w:val="center"/>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11 - Stock-Based Compensation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w:t>
      </w:r>
      <w:bookmarkStart w:id="750" w:name="xdx_904_eus-gaap--ShareBasedCompensation"/>
      <w:bookmarkEnd w:id="750"/>
      <w:r>
        <w:rPr>
          <w:rFonts w:ascii="Times New Roman;Times;Serif" w:hAnsi="Times New Roman;Times;Serif"/>
          <w:b w:val="false"/>
          <w:i w:val="false"/>
          <w:caps w:val="false"/>
          <w:smallCaps w:val="false"/>
          <w:sz w:val="20"/>
        </w:rPr>
        <w:t>461 of share-based compensation incurred during the three months ended June 30, 2026, $</w:t>
      </w:r>
      <w:bookmarkStart w:id="751" w:name="xdx_901_eus-gaap--ShareBasedCompensation"/>
      <w:bookmarkEnd w:id="751"/>
      <w:r>
        <w:rPr>
          <w:rFonts w:ascii="Times New Roman;Times;Serif" w:hAnsi="Times New Roman;Times;Serif"/>
          <w:b w:val="false"/>
          <w:i w:val="false"/>
          <w:caps w:val="false"/>
          <w:smallCaps w:val="false"/>
          <w:sz w:val="20"/>
        </w:rPr>
        <w:t>7 is allocated to cost of goods sold, $</w:t>
      </w:r>
      <w:bookmarkStart w:id="752" w:name="xdx_90B_eus-gaap--ShareBasedCompensation"/>
      <w:bookmarkEnd w:id="752"/>
      <w:r>
        <w:rPr>
          <w:rFonts w:ascii="Times New Roman;Times;Serif" w:hAnsi="Times New Roman;Times;Serif"/>
          <w:b w:val="false"/>
          <w:i w:val="false"/>
          <w:caps w:val="false"/>
          <w:smallCaps w:val="false"/>
          <w:sz w:val="20"/>
        </w:rPr>
        <w:t>20 to research and development, $</w:t>
      </w:r>
      <w:bookmarkStart w:id="753" w:name="xdx_90C_eus-gaap--ShareBasedCompensation"/>
      <w:bookmarkEnd w:id="753"/>
      <w:r>
        <w:rPr>
          <w:rFonts w:ascii="Times New Roman;Times;Serif" w:hAnsi="Times New Roman;Times;Serif"/>
          <w:b w:val="false"/>
          <w:i w:val="false"/>
          <w:caps w:val="false"/>
          <w:smallCaps w:val="false"/>
          <w:sz w:val="20"/>
        </w:rPr>
        <w:t>156 to selling and marketing, and $</w:t>
      </w:r>
      <w:bookmarkStart w:id="754" w:name="xdx_900_eus-gaap--ShareBasedCompensation"/>
      <w:bookmarkEnd w:id="754"/>
      <w:r>
        <w:rPr>
          <w:rFonts w:ascii="Times New Roman;Times;Serif" w:hAnsi="Times New Roman;Times;Serif"/>
          <w:b w:val="false"/>
          <w:i w:val="false"/>
          <w:caps w:val="false"/>
          <w:smallCaps w:val="false"/>
          <w:sz w:val="20"/>
        </w:rPr>
        <w:t>278 to general and administrative expenses. Of the $</w:t>
      </w:r>
      <w:bookmarkStart w:id="755" w:name="xdx_905_eus-gaap--ShareBasedCompensation"/>
      <w:bookmarkEnd w:id="755"/>
      <w:r>
        <w:rPr>
          <w:rFonts w:ascii="Times New Roman;Times;Serif" w:hAnsi="Times New Roman;Times;Serif"/>
          <w:b w:val="false"/>
          <w:i w:val="false"/>
          <w:caps w:val="false"/>
          <w:smallCaps w:val="false"/>
          <w:sz w:val="20"/>
        </w:rPr>
        <w:t>190 of share-based compensation incurred during the three months ended June 30, 2025, $</w:t>
      </w:r>
      <w:bookmarkStart w:id="756" w:name="xdx_901_eus-gaap--ShareBasedCompensation"/>
      <w:bookmarkEnd w:id="756"/>
      <w:r>
        <w:rPr>
          <w:rFonts w:ascii="Times New Roman;Times;Serif" w:hAnsi="Times New Roman;Times;Serif"/>
          <w:b w:val="false"/>
          <w:i w:val="false"/>
          <w:caps w:val="false"/>
          <w:smallCaps w:val="false"/>
          <w:sz w:val="20"/>
        </w:rPr>
        <w:t>17 is allocated to cost of goods sold, $</w:t>
      </w:r>
      <w:bookmarkStart w:id="757" w:name="xdx_90C_eus-gaap--ShareBasedCompensation"/>
      <w:bookmarkEnd w:id="757"/>
      <w:r>
        <w:rPr>
          <w:rFonts w:ascii="Times New Roman;Times;Serif" w:hAnsi="Times New Roman;Times;Serif"/>
          <w:b w:val="false"/>
          <w:i w:val="false"/>
          <w:caps w:val="false"/>
          <w:smallCaps w:val="false"/>
          <w:sz w:val="20"/>
        </w:rPr>
        <w:t>12 to research and development, $</w:t>
      </w:r>
      <w:bookmarkStart w:id="758" w:name="xdx_90E_eus-gaap--ShareBasedCompensation"/>
      <w:bookmarkEnd w:id="758"/>
      <w:r>
        <w:rPr>
          <w:rFonts w:ascii="Times New Roman;Times;Serif" w:hAnsi="Times New Roman;Times;Serif"/>
          <w:b w:val="false"/>
          <w:i w:val="false"/>
          <w:caps w:val="false"/>
          <w:smallCaps w:val="false"/>
          <w:sz w:val="20"/>
        </w:rPr>
        <w:t>63 to selling and marketing, and $</w:t>
      </w:r>
      <w:bookmarkStart w:id="759" w:name="xdx_902_eus-gaap--ShareBasedCompensation"/>
      <w:bookmarkEnd w:id="759"/>
      <w:r>
        <w:rPr>
          <w:rFonts w:ascii="Times New Roman;Times;Serif" w:hAnsi="Times New Roman;Times;Serif"/>
          <w:b w:val="false"/>
          <w:i w:val="false"/>
          <w:caps w:val="false"/>
          <w:smallCaps w:val="false"/>
          <w:sz w:val="20"/>
        </w:rPr>
        <w:t>98 to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w:t>
      </w:r>
      <w:bookmarkStart w:id="760" w:name="xdx_902_eus-gaap--ShareBasedCompensation"/>
      <w:bookmarkEnd w:id="760"/>
      <w:r>
        <w:rPr>
          <w:rFonts w:ascii="Times New Roman;Times;Serif" w:hAnsi="Times New Roman;Times;Serif"/>
          <w:b w:val="false"/>
          <w:i w:val="false"/>
          <w:caps w:val="false"/>
          <w:smallCaps w:val="false"/>
          <w:sz w:val="20"/>
        </w:rPr>
        <w:t>561 of share-based compensation incurred during the six months ended June 30, 2026, $</w:t>
      </w:r>
      <w:bookmarkStart w:id="761" w:name="xdx_907_eus-gaap--ShareBasedCompensation"/>
      <w:bookmarkEnd w:id="761"/>
      <w:r>
        <w:rPr>
          <w:rFonts w:ascii="Times New Roman;Times;Serif" w:hAnsi="Times New Roman;Times;Serif"/>
          <w:b w:val="false"/>
          <w:i w:val="false"/>
          <w:caps w:val="false"/>
          <w:smallCaps w:val="false"/>
          <w:sz w:val="20"/>
        </w:rPr>
        <w:t>10 is allocated to cost of goods sold, $</w:t>
      </w:r>
      <w:bookmarkStart w:id="762" w:name="xdx_90E_eus-gaap--ShareBasedCompensation"/>
      <w:bookmarkEnd w:id="762"/>
      <w:r>
        <w:rPr>
          <w:rFonts w:ascii="Times New Roman;Times;Serif" w:hAnsi="Times New Roman;Times;Serif"/>
          <w:b w:val="false"/>
          <w:i w:val="false"/>
          <w:caps w:val="false"/>
          <w:smallCaps w:val="false"/>
          <w:sz w:val="20"/>
        </w:rPr>
        <w:t>25 to research and development, $</w:t>
      </w:r>
      <w:bookmarkStart w:id="763" w:name="xdx_901_eus-gaap--ShareBasedCompensation"/>
      <w:bookmarkEnd w:id="763"/>
      <w:r>
        <w:rPr>
          <w:rFonts w:ascii="Times New Roman;Times;Serif" w:hAnsi="Times New Roman;Times;Serif"/>
          <w:b w:val="false"/>
          <w:i w:val="false"/>
          <w:caps w:val="false"/>
          <w:smallCaps w:val="false"/>
          <w:sz w:val="20"/>
        </w:rPr>
        <w:t>176 to selling and marketing, and $</w:t>
      </w:r>
      <w:bookmarkStart w:id="764" w:name="xdx_904_eus-gaap--ShareBasedCompensation"/>
      <w:bookmarkEnd w:id="764"/>
      <w:r>
        <w:rPr>
          <w:rFonts w:ascii="Times New Roman;Times;Serif" w:hAnsi="Times New Roman;Times;Serif"/>
          <w:b w:val="false"/>
          <w:i w:val="false"/>
          <w:caps w:val="false"/>
          <w:smallCaps w:val="false"/>
          <w:sz w:val="20"/>
        </w:rPr>
        <w:t>350 to general and administrative expenses. Of the $</w:t>
      </w:r>
      <w:bookmarkStart w:id="765" w:name="xdx_906_eus-gaap--ShareBasedCompensation"/>
      <w:bookmarkEnd w:id="765"/>
      <w:r>
        <w:rPr>
          <w:rFonts w:ascii="Times New Roman;Times;Serif" w:hAnsi="Times New Roman;Times;Serif"/>
          <w:b w:val="false"/>
          <w:i w:val="false"/>
          <w:caps w:val="false"/>
          <w:smallCaps w:val="false"/>
          <w:sz w:val="20"/>
        </w:rPr>
        <w:t>410 of share-based compensation incurred during the six months ended June 30, 2025, $</w:t>
      </w:r>
      <w:bookmarkStart w:id="766" w:name="xdx_90E_eus-gaap--ShareBasedCompensation"/>
      <w:bookmarkEnd w:id="766"/>
      <w:r>
        <w:rPr>
          <w:rFonts w:ascii="Times New Roman;Times;Serif" w:hAnsi="Times New Roman;Times;Serif"/>
          <w:b w:val="false"/>
          <w:i w:val="false"/>
          <w:caps w:val="false"/>
          <w:smallCaps w:val="false"/>
          <w:sz w:val="20"/>
        </w:rPr>
        <w:t>35 is allocated to cost of goods sold, $</w:t>
      </w:r>
      <w:bookmarkStart w:id="767" w:name="xdx_909_eus-gaap--ShareBasedCompensation"/>
      <w:bookmarkEnd w:id="767"/>
      <w:r>
        <w:rPr>
          <w:rFonts w:ascii="Times New Roman;Times;Serif" w:hAnsi="Times New Roman;Times;Serif"/>
          <w:b w:val="false"/>
          <w:i w:val="false"/>
          <w:caps w:val="false"/>
          <w:smallCaps w:val="false"/>
          <w:sz w:val="20"/>
        </w:rPr>
        <w:t>26 to research and development, $</w:t>
      </w:r>
      <w:bookmarkStart w:id="768" w:name="xdx_905_eus-gaap--ShareBasedCompensation"/>
      <w:bookmarkEnd w:id="768"/>
      <w:r>
        <w:rPr>
          <w:rFonts w:ascii="Times New Roman;Times;Serif" w:hAnsi="Times New Roman;Times;Serif"/>
          <w:b w:val="false"/>
          <w:i w:val="false"/>
          <w:caps w:val="false"/>
          <w:smallCaps w:val="false"/>
          <w:sz w:val="20"/>
        </w:rPr>
        <w:t>124 to selling and marketing, and $</w:t>
      </w:r>
      <w:bookmarkStart w:id="769" w:name="xdx_906_eus-gaap--ShareBasedCompensation"/>
      <w:bookmarkEnd w:id="769"/>
      <w:r>
        <w:rPr>
          <w:rFonts w:ascii="Times New Roman;Times;Serif" w:hAnsi="Times New Roman;Times;Serif"/>
          <w:b w:val="false"/>
          <w:i w:val="false"/>
          <w:caps w:val="false"/>
          <w:smallCaps w:val="false"/>
          <w:sz w:val="20"/>
        </w:rPr>
        <w:t>225 to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 free interest rate, and the weighted average expected life of the options. The expected term was estimated using the simplified method due to lack of sufficient history of option exercises.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770" w:name="xdx_863_zoVMcZztPAI1"/>
      <w:bookmarkStart w:id="771" w:name="xdx_897_eus-gaap--ShareBasedCompensation"/>
      <w:bookmarkEnd w:id="770"/>
      <w:bookmarkEnd w:id="771"/>
      <w:r>
        <w:rPr>
          <w:rFonts w:ascii="Times New Roman;Times;Serif" w:hAnsi="Times New Roman;Times;Serif"/>
          <w:b w:val="false"/>
          <w:i w:val="false"/>
          <w:caps w:val="false"/>
          <w:smallCaps w:val="false"/>
          <w:sz w:val="20"/>
        </w:rPr>
        <w:t>SCHEDULE OF WEIGHTED AVERAGE FAIR VALUE OF OPTIONS </w:t>
      </w:r>
    </w:p>
    <w:tbl>
      <w:tblPr>
        <w:tblW w:w="6285" w:type="dxa"/>
        <w:jc w:val="left"/>
        <w:tblInd w:w="0" w:type="dxa"/>
        <w:tblLayout w:type="fixed"/>
        <w:tblCellMar>
          <w:top w:w="0" w:type="dxa"/>
          <w:left w:w="0" w:type="dxa"/>
          <w:bottom w:w="0" w:type="dxa"/>
          <w:right w:w="0" w:type="dxa"/>
        </w:tblCellMar>
      </w:tblPr>
      <w:tblGrid>
        <w:gridCol w:w="4460"/>
        <w:gridCol w:w="60"/>
        <w:gridCol w:w="307"/>
        <w:gridCol w:w="1228"/>
        <w:gridCol w:w="23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2" w:name="xdx_490_20260101__20260331__us-gaap--Awa"/>
            <w:bookmarkEnd w:id="772"/>
          </w:p>
        </w:tc>
        <w:tc>
          <w:tcPr>
            <w:tcW w:w="1535" w:type="dxa"/>
            <w:gridSpan w:val="2"/>
            <w:tcBorders>
              <w:bottom w:val="single" w:sz="8" w:space="0" w:color="000000"/>
            </w:tcBorders>
            <w:tcMar>
              <w:bottom w:w="28" w:type="dxa"/>
            </w:tcMar>
            <w:vAlign w:val="center"/>
          </w:tcPr>
          <w:p>
            <w:pPr>
              <w:pStyle w:val="TableContents"/>
              <w:bidi w:val="0"/>
              <w:spacing w:before="0" w:after="283"/>
              <w:jc w:val="center"/>
              <w:rPr/>
            </w:pPr>
            <w:r>
              <w:rPr/>
              <w:t>March 31, 2026</w:t>
            </w:r>
          </w:p>
        </w:tc>
        <w:tc>
          <w:tcPr>
            <w:tcW w:w="230" w:type="dxa"/>
            <w:tcBorders/>
            <w:vAlign w:val="center"/>
          </w:tcPr>
          <w:p>
            <w:pPr>
              <w:pStyle w:val="TableContents"/>
              <w:bidi w:val="0"/>
              <w:spacing w:before="0" w:after="283"/>
              <w:jc w:val="left"/>
              <w:rPr/>
            </w:pPr>
            <w:r>
              <w:rPr/>
              <w:t> </w:t>
            </w:r>
            <w:bookmarkStart w:id="773" w:name="xdx_404_eus-gaap--ShareBasedCompensation"/>
            <w:bookmarkEnd w:id="773"/>
          </w:p>
        </w:tc>
      </w:tr>
      <w:tr>
        <w:trPr/>
        <w:tc>
          <w:tcPr>
            <w:tcW w:w="4460" w:type="dxa"/>
            <w:tcBorders/>
            <w:shd w:fill="CCEEFF" w:val="clear"/>
            <w:vAlign w:val="center"/>
          </w:tcPr>
          <w:p>
            <w:pPr>
              <w:pStyle w:val="TableContents"/>
              <w:bidi w:val="0"/>
              <w:spacing w:before="0" w:after="283"/>
              <w:jc w:val="left"/>
              <w:rPr/>
            </w:pPr>
            <w:r>
              <w:rPr/>
              <w:t>Weighted average fair value of options granted</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2.79</w:t>
            </w:r>
          </w:p>
        </w:tc>
        <w:tc>
          <w:tcPr>
            <w:tcW w:w="230" w:type="dxa"/>
            <w:tcBorders/>
            <w:shd w:fill="CCEEFF" w:val="clear"/>
            <w:vAlign w:val="center"/>
          </w:tcPr>
          <w:p>
            <w:pPr>
              <w:pStyle w:val="TableContents"/>
              <w:bidi w:val="0"/>
              <w:spacing w:before="0" w:after="283"/>
              <w:jc w:val="left"/>
              <w:rPr/>
            </w:pPr>
            <w:r>
              <w:rPr/>
              <w:t> </w:t>
            </w:r>
            <w:bookmarkStart w:id="774" w:name="xdx_40F_eus-gaap--ShareBasedCompensation"/>
            <w:bookmarkEnd w:id="774"/>
          </w:p>
        </w:tc>
      </w:tr>
      <w:tr>
        <w:trPr/>
        <w:tc>
          <w:tcPr>
            <w:tcW w:w="4460"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3.92</w:t>
            </w:r>
          </w:p>
        </w:tc>
        <w:tc>
          <w:tcPr>
            <w:tcW w:w="230" w:type="dxa"/>
            <w:tcBorders/>
            <w:shd w:fill="FFFFFF" w:val="clear"/>
            <w:vAlign w:val="center"/>
          </w:tcPr>
          <w:p>
            <w:pPr>
              <w:pStyle w:val="TableContents"/>
              <w:bidi w:val="0"/>
              <w:spacing w:before="0" w:after="283"/>
              <w:jc w:val="left"/>
              <w:rPr/>
            </w:pPr>
            <w:r>
              <w:rPr/>
              <w:t>%</w:t>
            </w:r>
            <w:bookmarkStart w:id="775" w:name="xdx_40B_eus-gaap--ShareBasedCompensation"/>
            <w:bookmarkEnd w:id="775"/>
          </w:p>
        </w:tc>
      </w:tr>
      <w:tr>
        <w:trPr/>
        <w:tc>
          <w:tcPr>
            <w:tcW w:w="4460"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45.12</w:t>
            </w:r>
          </w:p>
        </w:tc>
        <w:tc>
          <w:tcPr>
            <w:tcW w:w="23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Expected life (years)</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bookmarkStart w:id="776" w:name="xdx_984_eus-gaap--SharebasedCompensation"/>
            <w:bookmarkEnd w:id="776"/>
          </w:p>
        </w:tc>
        <w:tc>
          <w:tcPr>
            <w:tcW w:w="1228" w:type="dxa"/>
            <w:tcBorders/>
            <w:shd w:fill="FFFFFF" w:val="clear"/>
            <w:vAlign w:val="center"/>
          </w:tcPr>
          <w:p>
            <w:pPr>
              <w:pStyle w:val="TableContents"/>
              <w:bidi w:val="0"/>
              <w:spacing w:before="0" w:after="283"/>
              <w:jc w:val="right"/>
              <w:rPr/>
            </w:pPr>
            <w:r>
              <w:rPr/>
              <w:t>5.53</w:t>
            </w:r>
          </w:p>
        </w:tc>
        <w:tc>
          <w:tcPr>
            <w:tcW w:w="230" w:type="dxa"/>
            <w:tcBorders/>
            <w:shd w:fill="FFFFFF" w:val="clear"/>
            <w:vAlign w:val="center"/>
          </w:tcPr>
          <w:p>
            <w:pPr>
              <w:pStyle w:val="TableContents"/>
              <w:bidi w:val="0"/>
              <w:spacing w:before="0" w:after="283"/>
              <w:jc w:val="left"/>
              <w:rPr/>
            </w:pPr>
            <w:r>
              <w:rPr/>
              <w:t> </w:t>
            </w:r>
            <w:bookmarkStart w:id="777" w:name="xdx_408_eus-gaap--ShareBasedCompensation"/>
            <w:bookmarkEnd w:id="777"/>
          </w:p>
        </w:tc>
      </w:tr>
      <w:tr>
        <w:trPr/>
        <w:tc>
          <w:tcPr>
            <w:tcW w:w="4460"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0.00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778" w:name="xdx_8A5_zTTsrKheLUxg"/>
      <w:bookmarkEnd w:id="778"/>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 2025 and May 19, 2025, the Company granted </w:t>
      </w:r>
      <w:bookmarkStart w:id="779" w:name="xdx_909_eus-gaap--ShareBasedCompensation"/>
      <w:bookmarkEnd w:id="779"/>
      <w:r>
        <w:rPr>
          <w:rFonts w:ascii="Times New Roman;Times;Serif" w:hAnsi="Times New Roman;Times;Serif"/>
          <w:b w:val="false"/>
          <w:i w:val="false"/>
          <w:caps w:val="false"/>
          <w:smallCaps w:val="false"/>
          <w:sz w:val="20"/>
        </w:rPr>
        <w:t xml:space="preserve">376 and </w:t>
      </w:r>
      <w:bookmarkStart w:id="780" w:name="xdx_90A_eus-gaap--ShareBasedCompensation"/>
      <w:bookmarkEnd w:id="780"/>
      <w:r>
        <w:rPr>
          <w:rFonts w:ascii="Times New Roman;Times;Serif" w:hAnsi="Times New Roman;Times;Serif"/>
          <w:b w:val="false"/>
          <w:i w:val="false"/>
          <w:caps w:val="false"/>
          <w:smallCaps w:val="false"/>
          <w:sz w:val="20"/>
        </w:rPr>
        <w:t>88 RSUs, respectively. The RSUs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RSUs was $</w:t>
      </w:r>
      <w:bookmarkStart w:id="781" w:name="xdx_900_eus-gaap--StockIssuedDuringPerio"/>
      <w:bookmarkStart w:id="782" w:name="xdx_904_eus-gaap--StockIssuedDuringPerio"/>
      <w:bookmarkEnd w:id="781"/>
      <w:bookmarkEnd w:id="782"/>
      <w:r>
        <w:rPr>
          <w:rFonts w:ascii="Times New Roman;Times;Serif" w:hAnsi="Times New Roman;Times;Serif"/>
          <w:b w:val="false"/>
          <w:i w:val="false"/>
          <w:caps w:val="false"/>
          <w:smallCaps w:val="false"/>
          <w:sz w:val="20"/>
        </w:rPr>
        <w:t xml:space="preserve">4 and </w:t>
      </w:r>
      <w:bookmarkStart w:id="783" w:name="xdx_903_eus-gaap--AllocatedShareBasedCom"/>
      <w:bookmarkStart w:id="784" w:name="xdx_906_eus-gaap--AllocatedShareBasedCom"/>
      <w:bookmarkEnd w:id="783"/>
      <w:bookmarkEnd w:id="784"/>
      <w:r>
        <w:rPr>
          <w:rFonts w:ascii="Times New Roman;Times;Serif" w:hAnsi="Times New Roman;Times;Serif"/>
          <w:b w:val="false"/>
          <w:i w:val="false"/>
          <w:caps w:val="false"/>
          <w:smallCaps w:val="false"/>
          <w:sz w:val="20"/>
        </w:rPr>
        <w:t>no expense was recorded as compensation expense during the six months ended June 30, 2026 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2026, the members of the Board of Directors were granted an aggregate of </w:t>
      </w:r>
      <w:bookmarkStart w:id="785" w:name="xdx_90C_eus-gaap--ShareBasedCompensation"/>
      <w:bookmarkEnd w:id="785"/>
      <w:r>
        <w:rPr>
          <w:rFonts w:ascii="Times New Roman;Times;Serif" w:hAnsi="Times New Roman;Times;Serif"/>
          <w:b w:val="false"/>
          <w:i w:val="false"/>
          <w:caps w:val="false"/>
          <w:smallCaps w:val="false"/>
          <w:sz w:val="20"/>
        </w:rPr>
        <w:t>13,364 RSUs. The RSUs will vest in three equal annual installments, with the first vesting occurring on April 1, 2026 and the following two vesting dates on each subsequent anniversary of the grant date, subject to continued Board service. The fair value of the RSUs was $</w:t>
      </w:r>
      <w:bookmarkStart w:id="786" w:name="xdx_905_eus-gaap--StockIssuedDuringPerio"/>
      <w:bookmarkEnd w:id="786"/>
      <w:r>
        <w:rPr>
          <w:rFonts w:ascii="Times New Roman;Times;Serif" w:hAnsi="Times New Roman;Times;Serif"/>
          <w:b w:val="false"/>
          <w:i w:val="false"/>
          <w:caps w:val="false"/>
          <w:smallCaps w:val="false"/>
          <w:sz w:val="20"/>
        </w:rPr>
        <w:t>23 and $</w:t>
      </w:r>
      <w:bookmarkStart w:id="787" w:name="xdx_902_eus-gaap--AllocatedShareBasedCom"/>
      <w:bookmarkEnd w:id="787"/>
      <w:r>
        <w:rPr>
          <w:rFonts w:ascii="Times New Roman;Times;Serif" w:hAnsi="Times New Roman;Times;Serif"/>
          <w:b w:val="false"/>
          <w:i w:val="false"/>
          <w:caps w:val="false"/>
          <w:smallCaps w:val="false"/>
          <w:sz w:val="20"/>
        </w:rPr>
        <w:t>3 was recorded as compensation expense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 2026, the Company granted </w:t>
      </w:r>
      <w:bookmarkStart w:id="788" w:name="xdx_902_eus-gaap--ShareBasedCompensation"/>
      <w:bookmarkEnd w:id="788"/>
      <w:r>
        <w:rPr>
          <w:rFonts w:ascii="Times New Roman;Times;Serif" w:hAnsi="Times New Roman;Times;Serif"/>
          <w:b w:val="false"/>
          <w:i w:val="false"/>
          <w:caps w:val="false"/>
          <w:smallCaps w:val="false"/>
          <w:sz w:val="20"/>
        </w:rPr>
        <w:t>638,785 RSUs. The RSUs will vest in three equal annual installments, with the first vesting occurring immediately on April 1, 2026 and the following two vesting dates on each subsequent anniversary of the date of issuance, subject to each employee’s continued employment as of each vesting date. The fair value of the RSUs was $</w:t>
      </w:r>
      <w:bookmarkStart w:id="789" w:name="xdx_908_eus-gaap--StockIssuedDuringPerio"/>
      <w:bookmarkEnd w:id="789"/>
      <w:r>
        <w:rPr>
          <w:rFonts w:ascii="Times New Roman;Times;Serif" w:hAnsi="Times New Roman;Times;Serif"/>
          <w:b w:val="false"/>
          <w:i w:val="false"/>
          <w:caps w:val="false"/>
          <w:smallCaps w:val="false"/>
          <w:sz w:val="20"/>
        </w:rPr>
        <w:t>1,105, and $</w:t>
      </w:r>
      <w:bookmarkStart w:id="790" w:name="xdx_901_eus-gaap--AllocatedShareBasedCom"/>
      <w:bookmarkEnd w:id="790"/>
      <w:r>
        <w:rPr>
          <w:rFonts w:ascii="Times New Roman;Times;Serif" w:hAnsi="Times New Roman;Times;Serif"/>
          <w:b w:val="false"/>
          <w:i w:val="false"/>
          <w:caps w:val="false"/>
          <w:smallCaps w:val="false"/>
          <w:sz w:val="20"/>
        </w:rPr>
        <w:t>193 was recorded as compensation expense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28, 2026, the Company granted </w:t>
      </w:r>
      <w:bookmarkStart w:id="791" w:name="xdx_903_eus-gaap--ShareBasedCompensation"/>
      <w:bookmarkEnd w:id="791"/>
      <w:r>
        <w:rPr>
          <w:rFonts w:ascii="Times New Roman;Times;Serif" w:hAnsi="Times New Roman;Times;Serif"/>
          <w:b w:val="false"/>
          <w:i w:val="false"/>
          <w:caps w:val="false"/>
          <w:smallCaps w:val="false"/>
          <w:sz w:val="20"/>
        </w:rPr>
        <w:t>2,263 RSUs that vested immediately on the date of issuance. The fair value of the RSUs was $</w:t>
      </w:r>
      <w:bookmarkStart w:id="792" w:name="xdx_906_eus-gaap--StockIssuedDuringPerio"/>
      <w:bookmarkEnd w:id="792"/>
      <w:r>
        <w:rPr>
          <w:rFonts w:ascii="Times New Roman;Times;Serif" w:hAnsi="Times New Roman;Times;Serif"/>
          <w:b w:val="false"/>
          <w:i w:val="false"/>
          <w:caps w:val="false"/>
          <w:smallCaps w:val="false"/>
          <w:sz w:val="20"/>
        </w:rPr>
        <w:t>5, and $</w:t>
      </w:r>
      <w:bookmarkStart w:id="793" w:name="xdx_90A_eus-gaap--AllocatedShareBasedCom"/>
      <w:bookmarkEnd w:id="793"/>
      <w:r>
        <w:rPr>
          <w:rFonts w:ascii="Times New Roman;Times;Serif" w:hAnsi="Times New Roman;Times;Serif"/>
          <w:b w:val="false"/>
          <w:i w:val="false"/>
          <w:caps w:val="false"/>
          <w:smallCaps w:val="false"/>
          <w:sz w:val="20"/>
        </w:rPr>
        <w:t>5 was recorded as compensation expense during the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11 - Stock-Based Compensation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18, 2026, the Board of Directors authorized the issuance of </w:t>
      </w:r>
      <w:bookmarkStart w:id="794" w:name="xdx_907_eus-gaap--StockIssuedDuringPerio"/>
      <w:bookmarkEnd w:id="794"/>
      <w:r>
        <w:rPr>
          <w:rFonts w:ascii="Times New Roman;Times;Serif" w:hAnsi="Times New Roman;Times;Serif"/>
          <w:b w:val="false"/>
          <w:i w:val="false"/>
          <w:caps w:val="false"/>
          <w:smallCaps w:val="false"/>
          <w:sz w:val="20"/>
        </w:rPr>
        <w:t>10,000 RSUs to the newly appointed board member. The RSUs will vest in two equal installments, with one-half vesting immediately upon the date of grant and one-half vesting on the one-year anniversary of the date of the grant, subject to continued service to the Company. The fair value of the RSUs was $</w:t>
      </w:r>
      <w:bookmarkStart w:id="795" w:name="xdx_903_eus-gaap--StockIssuedDuringPerio"/>
      <w:bookmarkEnd w:id="795"/>
      <w:r>
        <w:rPr>
          <w:rFonts w:ascii="Times New Roman;Times;Serif" w:hAnsi="Times New Roman;Times;Serif"/>
          <w:b w:val="false"/>
          <w:i w:val="false"/>
          <w:caps w:val="false"/>
          <w:smallCaps w:val="false"/>
          <w:sz w:val="20"/>
        </w:rPr>
        <w:t>20 and $</w:t>
      </w:r>
      <w:bookmarkStart w:id="796" w:name="xdx_90A_eus-gaap--AllocatedShareBasedCom"/>
      <w:bookmarkEnd w:id="796"/>
      <w:r>
        <w:rPr>
          <w:rFonts w:ascii="Times New Roman;Times;Serif" w:hAnsi="Times New Roman;Times;Serif"/>
          <w:b w:val="false"/>
          <w:i w:val="false"/>
          <w:caps w:val="false"/>
          <w:smallCaps w:val="false"/>
          <w:sz w:val="20"/>
        </w:rPr>
        <w:t>1 was recorded as compensation expense during the six months ended June 30, 2026.</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97" w:name="xdx_89C_eus-gaap--ScheduleOfUnvestedRest"/>
      <w:bookmarkEnd w:id="797"/>
      <w:r>
        <w:rPr>
          <w:rFonts w:ascii="Times New Roman;Times;Serif" w:hAnsi="Times New Roman;Times;Serif"/>
          <w:b w:val="false"/>
          <w:i w:val="false"/>
          <w:caps w:val="false"/>
          <w:smallCaps w:val="false"/>
          <w:sz w:val="20"/>
        </w:rPr>
        <w:t>The following table presents the restricted stock units activity for the six months ended June 30,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798" w:name="xdx_8B6_zrPdXZL1OJMd"/>
      <w:bookmarkEnd w:id="798"/>
      <w:r>
        <w:rPr>
          <w:rFonts w:ascii="Times New Roman;Times;Serif" w:hAnsi="Times New Roman;Times;Serif"/>
          <w:b w:val="false"/>
          <w:i w:val="false"/>
          <w:caps w:val="false"/>
          <w:smallCaps w:val="false"/>
          <w:sz w:val="20"/>
        </w:rPr>
        <w:t>SCHEDULE OF RESTRICTED STOCK UNITS ACTIVITY  </w:t>
      </w:r>
    </w:p>
    <w:tbl>
      <w:tblPr>
        <w:tblW w:w="6439" w:type="dxa"/>
        <w:jc w:val="left"/>
        <w:tblInd w:w="0" w:type="dxa"/>
        <w:tblLayout w:type="fixed"/>
        <w:tblCellMar>
          <w:top w:w="0" w:type="dxa"/>
          <w:left w:w="0" w:type="dxa"/>
          <w:bottom w:w="0" w:type="dxa"/>
          <w:right w:w="0" w:type="dxa"/>
        </w:tblCellMar>
      </w:tblPr>
      <w:tblGrid>
        <w:gridCol w:w="3215"/>
        <w:gridCol w:w="60"/>
        <w:gridCol w:w="71"/>
        <w:gridCol w:w="1043"/>
        <w:gridCol w:w="95"/>
        <w:gridCol w:w="60"/>
        <w:gridCol w:w="364"/>
        <w:gridCol w:w="1456"/>
        <w:gridCol w:w="7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Number of </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center"/>
          </w:tcPr>
          <w:p>
            <w:pPr>
              <w:pStyle w:val="TableContents"/>
              <w:bidi w:val="0"/>
              <w:spacing w:before="0" w:after="283"/>
              <w:jc w:val="center"/>
              <w:rPr/>
            </w:pPr>
            <w:r>
              <w:rPr/>
              <w:t>Weighted-Average</w:t>
              <w:br/>
              <w:t>Fair Market Value</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pPr>
            <w:r>
              <w:rPr/>
              <w:t>Unvested shares, January 1, 2026</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bookmarkStart w:id="799" w:name="xdx_985_eus-gaap--ShareBasedCompensation"/>
            <w:bookmarkEnd w:id="799"/>
          </w:p>
        </w:tc>
        <w:tc>
          <w:tcPr>
            <w:tcW w:w="1043" w:type="dxa"/>
            <w:tcBorders/>
            <w:shd w:fill="CCEEFF" w:val="clear"/>
            <w:vAlign w:val="center"/>
          </w:tcPr>
          <w:p>
            <w:pPr>
              <w:pStyle w:val="TableContents"/>
              <w:bidi w:val="0"/>
              <w:spacing w:before="0" w:after="283"/>
              <w:jc w:val="right"/>
              <w:rPr/>
            </w:pPr>
            <w:r>
              <w:rPr/>
              <w:t>16,787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w:t>
            </w:r>
            <w:bookmarkStart w:id="800" w:name="xdx_98E_eus-gaap--ShareBasedCompensation"/>
            <w:bookmarkEnd w:id="800"/>
          </w:p>
        </w:tc>
        <w:tc>
          <w:tcPr>
            <w:tcW w:w="1456" w:type="dxa"/>
            <w:tcBorders/>
            <w:shd w:fill="CCEEFF" w:val="clear"/>
            <w:vAlign w:val="center"/>
          </w:tcPr>
          <w:p>
            <w:pPr>
              <w:pStyle w:val="TableContents"/>
              <w:bidi w:val="0"/>
              <w:spacing w:before="0" w:after="283"/>
              <w:jc w:val="right"/>
              <w:rPr/>
            </w:pPr>
            <w:r>
              <w:rPr/>
              <w:t>45.30</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both"/>
              <w:rPr/>
            </w:pPr>
            <w:r>
              <w:rPr/>
              <w:t>Granted and unvested</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801" w:name="xdx_98D_eus-gaap--ShareBasedCompensation"/>
            <w:bookmarkEnd w:id="801"/>
          </w:p>
        </w:tc>
        <w:tc>
          <w:tcPr>
            <w:tcW w:w="1043" w:type="dxa"/>
            <w:tcBorders/>
            <w:shd w:fill="FFFFFF" w:val="clear"/>
            <w:vAlign w:val="center"/>
          </w:tcPr>
          <w:p>
            <w:pPr>
              <w:pStyle w:val="TableContents"/>
              <w:bidi w:val="0"/>
              <w:spacing w:before="0" w:after="283"/>
              <w:jc w:val="right"/>
              <w:rPr/>
            </w:pPr>
            <w:r>
              <w:rPr/>
              <w:t>664,412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bookmarkStart w:id="802" w:name="xdx_988_eus-gaap--ShareBasedCompensation"/>
            <w:bookmarkEnd w:id="802"/>
          </w:p>
        </w:tc>
        <w:tc>
          <w:tcPr>
            <w:tcW w:w="1456" w:type="dxa"/>
            <w:tcBorders/>
            <w:shd w:fill="FFFFFF" w:val="clear"/>
            <w:vAlign w:val="center"/>
          </w:tcPr>
          <w:p>
            <w:pPr>
              <w:pStyle w:val="TableContents"/>
              <w:bidi w:val="0"/>
              <w:spacing w:before="0" w:after="283"/>
              <w:jc w:val="right"/>
              <w:rPr/>
            </w:pPr>
            <w:r>
              <w:rPr/>
              <w:t>1.74</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pPr>
            <w:r>
              <w:rPr/>
              <w:t>Exercised</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bookmarkStart w:id="803" w:name="xdx_98E_eus-gaap--StockIssuedDuringPerio"/>
            <w:bookmarkEnd w:id="803"/>
          </w:p>
        </w:tc>
        <w:tc>
          <w:tcPr>
            <w:tcW w:w="1043" w:type="dxa"/>
            <w:tcBorders/>
            <w:shd w:fill="CCEEFF" w:val="clear"/>
            <w:vAlign w:val="center"/>
          </w:tcPr>
          <w:p>
            <w:pPr>
              <w:pStyle w:val="TableContents"/>
              <w:bidi w:val="0"/>
              <w:spacing w:before="0" w:after="283"/>
              <w:jc w:val="right"/>
              <w:rPr/>
            </w:pPr>
            <w:r>
              <w:rPr/>
              <w:t>(225,455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 </w:t>
            </w:r>
            <w:bookmarkStart w:id="804" w:name="xdx_987_eus-gaap--ShareBasedCompensation"/>
            <w:bookmarkEnd w:id="804"/>
          </w:p>
        </w:tc>
        <w:tc>
          <w:tcPr>
            <w:tcW w:w="1456" w:type="dxa"/>
            <w:tcBorders/>
            <w:shd w:fill="CCEEFF" w:val="clear"/>
            <w:vAlign w:val="center"/>
          </w:tcPr>
          <w:p>
            <w:pPr>
              <w:pStyle w:val="TableContents"/>
              <w:bidi w:val="0"/>
              <w:spacing w:before="0" w:after="283"/>
              <w:jc w:val="right"/>
              <w:rPr/>
            </w:pPr>
            <w:r>
              <w:rPr/>
              <w:t>2.78</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both"/>
              <w:rPr/>
            </w:pPr>
            <w:r>
              <w:rPr/>
              <w:t>Forfeited</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05" w:name="xdx_98D_eus-gaap--ShareBasedCompensation"/>
            <w:bookmarkEnd w:id="805"/>
          </w:p>
        </w:tc>
        <w:tc>
          <w:tcPr>
            <w:tcW w:w="1043" w:type="dxa"/>
            <w:tcBorders>
              <w:bottom w:val="single" w:sz="8" w:space="0" w:color="000000"/>
            </w:tcBorders>
            <w:shd w:fill="FFFFFF" w:val="clear"/>
            <w:tcMar>
              <w:bottom w:w="28" w:type="dxa"/>
            </w:tcMar>
            <w:vAlign w:val="center"/>
          </w:tcPr>
          <w:p>
            <w:pPr>
              <w:pStyle w:val="TableContents"/>
              <w:bidi w:val="0"/>
              <w:spacing w:before="0" w:after="283"/>
              <w:jc w:val="right"/>
              <w:rPr/>
            </w:pPr>
            <w:r>
              <w:rPr/>
              <w:t>(104,018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06" w:name="xdx_980_eus-gaap--ShareBasedCompensation"/>
            <w:bookmarkEnd w:id="806"/>
          </w:p>
        </w:tc>
        <w:tc>
          <w:tcPr>
            <w:tcW w:w="1456" w:type="dxa"/>
            <w:tcBorders>
              <w:bottom w:val="single" w:sz="8" w:space="0" w:color="000000"/>
            </w:tcBorders>
            <w:shd w:fill="FFFFFF" w:val="clear"/>
            <w:tcMar>
              <w:bottom w:w="28" w:type="dxa"/>
            </w:tcMar>
            <w:vAlign w:val="center"/>
          </w:tcPr>
          <w:p>
            <w:pPr>
              <w:pStyle w:val="TableContents"/>
              <w:bidi w:val="0"/>
              <w:spacing w:before="0" w:after="283"/>
              <w:jc w:val="right"/>
              <w:rPr/>
            </w:pPr>
            <w:r>
              <w:rPr/>
              <w:t>2.64</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pPr>
            <w:r>
              <w:rPr/>
              <w:t>Vested</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07" w:name="xdx_986_eus-gaap--ShareBasedCompensation"/>
            <w:bookmarkEnd w:id="807"/>
          </w:p>
        </w:tc>
        <w:tc>
          <w:tcPr>
            <w:tcW w:w="1043" w:type="dxa"/>
            <w:tcBorders>
              <w:bottom w:val="single" w:sz="8" w:space="0" w:color="000000"/>
            </w:tcBorders>
            <w:shd w:fill="CCEEFF" w:val="clear"/>
            <w:tcMar>
              <w:bottom w:w="28" w:type="dxa"/>
            </w:tcMar>
            <w:vAlign w:val="center"/>
          </w:tcPr>
          <w:p>
            <w:pPr>
              <w:pStyle w:val="TableContents"/>
              <w:bidi w:val="0"/>
              <w:spacing w:before="0" w:after="283"/>
              <w:jc w:val="right"/>
              <w:rPr/>
            </w:pPr>
            <w:r>
              <w:rPr/>
              <w:t>(5,000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08" w:name="xdx_987_eus-gaap--ShareBasedCompensation"/>
            <w:bookmarkEnd w:id="808"/>
          </w:p>
        </w:tc>
        <w:tc>
          <w:tcPr>
            <w:tcW w:w="1456" w:type="dxa"/>
            <w:tcBorders>
              <w:bottom w:val="single" w:sz="8" w:space="0" w:color="000000"/>
            </w:tcBorders>
            <w:shd w:fill="CCEEFF" w:val="clear"/>
            <w:tcMar>
              <w:bottom w:w="28" w:type="dxa"/>
            </w:tcMar>
            <w:vAlign w:val="center"/>
          </w:tcPr>
          <w:p>
            <w:pPr>
              <w:pStyle w:val="TableContents"/>
              <w:bidi w:val="0"/>
              <w:spacing w:before="0" w:after="283"/>
              <w:jc w:val="right"/>
              <w:rPr/>
            </w:pPr>
            <w:r>
              <w:rPr/>
              <w:t>1.98</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both"/>
              <w:rPr/>
            </w:pPr>
            <w:r>
              <w:rPr/>
              <w:t>Unvested shares, June 30, 2026</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09" w:name="xdx_98C_eus-gaap--ShareBasedCompensation"/>
            <w:bookmarkEnd w:id="809"/>
          </w:p>
        </w:tc>
        <w:tc>
          <w:tcPr>
            <w:tcW w:w="1043" w:type="dxa"/>
            <w:tcBorders>
              <w:bottom w:val="double" w:sz="6" w:space="0" w:color="000000"/>
            </w:tcBorders>
            <w:shd w:fill="FFFFFF" w:val="clear"/>
            <w:tcMar>
              <w:bottom w:w="28" w:type="dxa"/>
            </w:tcMar>
            <w:vAlign w:val="center"/>
          </w:tcPr>
          <w:p>
            <w:pPr>
              <w:pStyle w:val="TableContents"/>
              <w:bidi w:val="0"/>
              <w:spacing w:before="0" w:after="283"/>
              <w:jc w:val="right"/>
              <w:rPr/>
            </w:pPr>
            <w:r>
              <w:rPr/>
              <w:t>346,726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810" w:name="xdx_987_eus-gaap--ShareBasedCompensation"/>
            <w:bookmarkEnd w:id="810"/>
          </w:p>
        </w:tc>
        <w:tc>
          <w:tcPr>
            <w:tcW w:w="1456" w:type="dxa"/>
            <w:tcBorders>
              <w:bottom w:val="double" w:sz="6" w:space="0" w:color="000000"/>
            </w:tcBorders>
            <w:shd w:fill="FFFFFF" w:val="clear"/>
            <w:tcMar>
              <w:bottom w:w="28" w:type="dxa"/>
            </w:tcMar>
            <w:vAlign w:val="center"/>
          </w:tcPr>
          <w:p>
            <w:pPr>
              <w:pStyle w:val="TableContents"/>
              <w:bidi w:val="0"/>
              <w:spacing w:before="0" w:after="283"/>
              <w:jc w:val="right"/>
              <w:rPr/>
            </w:pPr>
            <w:r>
              <w:rPr/>
              <w:t>2.89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11" w:name="xdx_8A7_zsYw7NbNgQli"/>
      <w:bookmarkEnd w:id="81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2025 there were </w:t>
      </w:r>
      <w:bookmarkStart w:id="812" w:name="xdx_90F_eus-gaap--ClassOfWarrantOrRightU"/>
      <w:bookmarkEnd w:id="812"/>
      <w:r>
        <w:rPr>
          <w:rFonts w:ascii="Times New Roman;Times;Serif" w:hAnsi="Times New Roman;Times;Serif"/>
          <w:b w:val="false"/>
          <w:i w:val="false"/>
          <w:caps w:val="false"/>
          <w:smallCaps w:val="false"/>
          <w:sz w:val="20"/>
        </w:rPr>
        <w:t xml:space="preserve">928,596 and </w:t>
      </w:r>
      <w:bookmarkStart w:id="813" w:name="xdx_905_eus-gaap--ClassOfWarrantOrRightU"/>
      <w:bookmarkEnd w:id="813"/>
      <w:r>
        <w:rPr>
          <w:rFonts w:ascii="Times New Roman;Times;Serif" w:hAnsi="Times New Roman;Times;Serif"/>
          <w:b w:val="false"/>
          <w:i w:val="false"/>
          <w:caps w:val="false"/>
          <w:smallCaps w:val="false"/>
          <w:sz w:val="20"/>
        </w:rPr>
        <w:t>118,925 shares, respectively, of unissued authorized and available for future awards under the 2022 Equity Incentive Plan and 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Employee Stock Purchase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the ESPP which permits eligible employees to purchase shares at not less than 85% of the market value of the Company’s common stock on the offering date or the purchase date of the applicable offering period, whichever is lower. The plan was adopted by the Company’s Board of Directors on May 13,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the Company issued </w:t>
      </w:r>
      <w:bookmarkStart w:id="814" w:name="xdx_90B_eus-gaap--StockIssuedDuringPerio"/>
      <w:bookmarkEnd w:id="814"/>
      <w:r>
        <w:rPr>
          <w:rFonts w:ascii="Times New Roman;Times;Serif" w:hAnsi="Times New Roman;Times;Serif"/>
          <w:b w:val="false"/>
          <w:i w:val="false"/>
          <w:caps w:val="false"/>
          <w:smallCaps w:val="false"/>
          <w:sz w:val="20"/>
        </w:rPr>
        <w:t>87,506 shares of common stock in connection with the ESPP for a total consideration of approximately $</w:t>
      </w:r>
      <w:bookmarkStart w:id="815" w:name="xdx_909_eus-gaap--StockIssuedDuringPerio"/>
      <w:bookmarkEnd w:id="815"/>
      <w:r>
        <w:rPr>
          <w:rFonts w:ascii="Times New Roman;Times;Serif" w:hAnsi="Times New Roman;Times;Serif"/>
          <w:b w:val="false"/>
          <w:i w:val="false"/>
          <w:caps w:val="false"/>
          <w:smallCaps w:val="false"/>
          <w:sz w:val="20"/>
        </w:rPr>
        <w:t xml:space="preserve">73. The ESPP allows employees to purchase shares at a </w:t>
      </w:r>
      <w:bookmarkStart w:id="816" w:name="xdx_902_ecustom--EmployeePurchaseSharesP"/>
      <w:bookmarkEnd w:id="816"/>
      <w:r>
        <w:rPr>
          <w:rFonts w:ascii="Times New Roman;Times;Serif" w:hAnsi="Times New Roman;Times;Serif"/>
          <w:b w:val="false"/>
          <w:i w:val="false"/>
          <w:caps w:val="false"/>
          <w:smallCaps w:val="false"/>
          <w:sz w:val="20"/>
        </w:rPr>
        <w:t>15% discount to the lesser of the stock price at the beginning or the end of the offering period, which was October 1, 2024, and April 1, 2025, respectively. The discount resulted in an exercise price of $</w:t>
      </w:r>
      <w:bookmarkStart w:id="817" w:name="xdx_90C_eus-gaap--ClassOfWarrantOrRightE"/>
      <w:bookmarkEnd w:id="817"/>
      <w:r>
        <w:rPr>
          <w:rFonts w:ascii="Times New Roman;Times;Serif" w:hAnsi="Times New Roman;Times;Serif"/>
          <w:b w:val="false"/>
          <w:i w:val="false"/>
          <w:caps w:val="false"/>
          <w:smallCaps w:val="false"/>
          <w:sz w:val="20"/>
        </w:rPr>
        <w:t>0.83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issued </w:t>
      </w:r>
      <w:bookmarkStart w:id="818" w:name="xdx_905_eus-gaap--StockIssuedDuringPerio"/>
      <w:bookmarkEnd w:id="818"/>
      <w:r>
        <w:rPr>
          <w:rFonts w:ascii="Times New Roman;Times;Serif" w:hAnsi="Times New Roman;Times;Serif"/>
          <w:b w:val="false"/>
          <w:i w:val="false"/>
          <w:caps w:val="false"/>
          <w:smallCaps w:val="false"/>
          <w:sz w:val="20"/>
        </w:rPr>
        <w:t>17,469 shares of common stock in connection with the ESPP for a total consideration of approximately $</w:t>
      </w:r>
      <w:bookmarkStart w:id="819" w:name="xdx_908_eus-gaap--StockIssuedDuringPerio"/>
      <w:bookmarkEnd w:id="819"/>
      <w:r>
        <w:rPr>
          <w:rFonts w:ascii="Times New Roman;Times;Serif" w:hAnsi="Times New Roman;Times;Serif"/>
          <w:b w:val="false"/>
          <w:i w:val="false"/>
          <w:caps w:val="false"/>
          <w:smallCaps w:val="false"/>
          <w:sz w:val="20"/>
        </w:rPr>
        <w:t xml:space="preserve">26. The ESPP allows employees to purchase shares at a </w:t>
      </w:r>
      <w:bookmarkStart w:id="820" w:name="xdx_906_ecustom--EmployeePurchaseSharesP"/>
      <w:bookmarkEnd w:id="820"/>
      <w:r>
        <w:rPr>
          <w:rFonts w:ascii="Times New Roman;Times;Serif" w:hAnsi="Times New Roman;Times;Serif"/>
          <w:b w:val="false"/>
          <w:i w:val="false"/>
          <w:caps w:val="false"/>
          <w:smallCaps w:val="false"/>
          <w:sz w:val="20"/>
        </w:rPr>
        <w:t>15% discount to the lesser of the stock price at the beginning or the end of the offering period, which was October 1, 2025, and April 1, 2026, respectively. The discount resulted in an exercise price of $</w:t>
      </w:r>
      <w:bookmarkStart w:id="821" w:name="xdx_908_eus-gaap--ClassOfWarrantOrRightE"/>
      <w:bookmarkEnd w:id="821"/>
      <w:r>
        <w:rPr>
          <w:rFonts w:ascii="Times New Roman;Times;Serif" w:hAnsi="Times New Roman;Times;Serif"/>
          <w:b w:val="false"/>
          <w:i w:val="false"/>
          <w:caps w:val="false"/>
          <w:smallCaps w:val="false"/>
          <w:sz w:val="20"/>
        </w:rPr>
        <w:t>1.48 per share.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822" w:name="xdx_803_eus-gaap--SegmentReportingDisclo"/>
      <w:bookmarkEnd w:id="822"/>
      <w:r>
        <w:rPr>
          <w:rFonts w:ascii="Times New Roman;Times;Serif" w:hAnsi="Times New Roman;Times;Serif"/>
          <w:b/>
          <w:i w:val="false"/>
          <w:caps/>
          <w:sz w:val="20"/>
        </w:rPr>
        <w:t xml:space="preserve">Note 12 - </w:t>
      </w:r>
      <w:bookmarkStart w:id="823" w:name="xdx_827_zrAoDmk30O36"/>
      <w:bookmarkEnd w:id="823"/>
      <w:r>
        <w:rPr>
          <w:rFonts w:ascii="Times New Roman;Times;Serif" w:hAnsi="Times New Roman;Times;Serif"/>
          <w:b/>
          <w:i w:val="false"/>
          <w:caps/>
          <w:sz w:val="20"/>
        </w:rPr>
        <w:t>REPORTABLE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824" w:name="xdx_902_eus-gaap--NumberOfReportableSegm"/>
      <w:bookmarkEnd w:id="824"/>
      <w:r>
        <w:rPr>
          <w:rFonts w:ascii="Times New Roman;Times;Serif" w:hAnsi="Times New Roman;Times;Serif"/>
          <w:b w:val="false"/>
          <w:i w:val="false"/>
          <w:caps w:val="false"/>
          <w:smallCaps w:val="false"/>
          <w:sz w:val="20"/>
        </w:rPr>
        <w:t>two reportable segments: Direct-to-Consumer (“DTC”) and Original Equipment Manufacturer (“OEM”). The DTC segment pertains to Battle Born, LLC branded batteries which are sold directly to consumers. The OEM segment pertains to Dragonfly branded batteries which are sold to original equipment manufacturers.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of the segments are the same as those described in the summary of significant accounting policies. The Company evaluates performance for all of its reportable segments based on both segment gross and net profit or 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DTC and OEM, the Chief Operating Decision Maker (“CODM”) uses both segment gross and net profit and loss from operations to allocate resources (including employees, property, and financial or capital resources) for each segment predominantly in the annual budget and forecasting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information for the reported segments is not disclosed as it is not used by the CODM in evaluating the performance of, or making decisions about, the reported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reportable segments are strategic business units that offer different branded products. They are managed separately because each segment requires different technology and marketing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is the Chief Executive Officer.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12 - Reportable Segments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25" w:name="xdx_894_eus-gaap--ScheduleOfSegmentRepor"/>
      <w:bookmarkEnd w:id="825"/>
      <w:r>
        <w:rPr>
          <w:rFonts w:ascii="Times New Roman;Times;Serif" w:hAnsi="Times New Roman;Times;Serif"/>
          <w:b w:val="false"/>
          <w:i w:val="false"/>
          <w:caps w:val="false"/>
          <w:smallCaps w:val="false"/>
          <w:sz w:val="20"/>
        </w:rPr>
        <w:t>The following table presents the reportable segments information for the six months ended June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26" w:name="xdx_8BA_zTthSr5nApRf"/>
      <w:bookmarkEnd w:id="826"/>
      <w:r>
        <w:rPr>
          <w:rFonts w:ascii="Times New Roman;Times;Serif" w:hAnsi="Times New Roman;Times;Serif"/>
          <w:b w:val="false"/>
          <w:i w:val="false"/>
          <w:caps w:val="false"/>
          <w:smallCaps w:val="false"/>
          <w:sz w:val="20"/>
        </w:rPr>
        <w:t>SCHEDULE OF REPORTABLE SEGMENTS INFORMATION  </w:t>
      </w:r>
    </w:p>
    <w:tbl>
      <w:tblPr>
        <w:tblW w:w="9645" w:type="dxa"/>
        <w:jc w:val="left"/>
        <w:tblInd w:w="0" w:type="dxa"/>
        <w:tblLayout w:type="fixed"/>
        <w:tblCellMar>
          <w:top w:w="0" w:type="dxa"/>
          <w:left w:w="0" w:type="dxa"/>
          <w:bottom w:w="0" w:type="dxa"/>
          <w:right w:w="0" w:type="dxa"/>
        </w:tblCellMar>
      </w:tblPr>
      <w:tblGrid>
        <w:gridCol w:w="5405"/>
        <w:gridCol w:w="60"/>
        <w:gridCol w:w="140"/>
        <w:gridCol w:w="560"/>
        <w:gridCol w:w="95"/>
        <w:gridCol w:w="60"/>
        <w:gridCol w:w="140"/>
        <w:gridCol w:w="680"/>
        <w:gridCol w:w="60"/>
        <w:gridCol w:w="60"/>
        <w:gridCol w:w="140"/>
        <w:gridCol w:w="860"/>
        <w:gridCol w:w="320"/>
        <w:gridCol w:w="60"/>
        <w:gridCol w:w="140"/>
        <w:gridCol w:w="755"/>
        <w:gridCol w:w="110"/>
      </w:tblGrid>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7" w:name="xdx_493_20260101__20260630__us-gaap--Sta"/>
            <w:bookmarkEnd w:id="827"/>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DTC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8" w:name="xdx_49A_20260101__20260630__us-gaap--Sta"/>
            <w:bookmarkEnd w:id="828"/>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OEM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9" w:name="xdx_495_20260101__20260630__us-gaap--Sta"/>
            <w:bookmarkEnd w:id="829"/>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30" w:name="xdx_499_20260101__20260630_zauktKROweHg"/>
            <w:bookmarkEnd w:id="830"/>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831" w:name="xdx_404_eus-gaap--RevenueFromContractWit"/>
            <w:bookmarkEnd w:id="831"/>
          </w:p>
        </w:tc>
      </w:tr>
      <w:tr>
        <w:trPr/>
        <w:tc>
          <w:tcPr>
            <w:tcW w:w="5405"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8,179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14,184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500</w:t>
            </w:r>
            <w:bookmarkStart w:id="832" w:name="xdx_F2F_zukOSraN54G3"/>
            <w:bookmarkEnd w:id="832"/>
            <w:r>
              <w:rPr>
                <w:rFonts w:ascii="Times New Roman;Times;Serif" w:hAnsi="Times New Roman;Times;Serif"/>
                <w:sz w:val="20"/>
              </w:rPr>
              <w:t>(1)</w:t>
            </w:r>
          </w:p>
        </w:tc>
        <w:tc>
          <w:tcPr>
            <w:tcW w:w="320"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22,863</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i/>
              </w:rPr>
            </w:pPr>
            <w:r>
              <w:rPr>
                <w:i/>
              </w:rPr>
              <w:t>Reconciliation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33" w:name="xdx_400_ecustom--ReconciliationOfNetSale"/>
            <w:bookmarkEnd w:id="833"/>
          </w:p>
        </w:tc>
      </w:tr>
      <w:tr>
        <w:trPr/>
        <w:tc>
          <w:tcPr>
            <w:tcW w:w="5405" w:type="dxa"/>
            <w:tcBorders/>
            <w:shd w:fill="FFFFFF" w:val="clear"/>
            <w:vAlign w:val="center"/>
          </w:tcPr>
          <w:p>
            <w:pPr>
              <w:pStyle w:val="TableContents"/>
              <w:bidi w:val="0"/>
              <w:spacing w:before="0" w:after="283"/>
              <w:jc w:val="left"/>
              <w:rPr/>
            </w:pPr>
            <w:r>
              <w:rPr/>
              <w:t>Reconciling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34" w:name="xdx_40C_eus-gaap--Revenues_pn3n3_zQxekkQ"/>
            <w:bookmarkEnd w:id="834"/>
          </w:p>
        </w:tc>
      </w:tr>
      <w:tr>
        <w:trPr/>
        <w:tc>
          <w:tcPr>
            <w:tcW w:w="5405" w:type="dxa"/>
            <w:tcBorders/>
            <w:shd w:fill="CCEEFF" w:val="clear"/>
            <w:vAlign w:val="center"/>
          </w:tcPr>
          <w:p>
            <w:pPr>
              <w:pStyle w:val="TableContents"/>
              <w:bidi w:val="0"/>
              <w:spacing w:before="0" w:after="283"/>
              <w:jc w:val="left"/>
              <w:rPr/>
            </w:pPr>
            <w:r>
              <w:rPr/>
              <w:t>Consolidated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22,863</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35" w:name="xdx_403_eus-gaap--CostDirectMaterial_pn3"/>
            <w:bookmarkEnd w:id="835"/>
          </w:p>
        </w:tc>
      </w:tr>
      <w:tr>
        <w:trPr/>
        <w:tc>
          <w:tcPr>
            <w:tcW w:w="5405" w:type="dxa"/>
            <w:tcBorders/>
            <w:shd w:fill="CCEEFF" w:val="clear"/>
            <w:vAlign w:val="center"/>
          </w:tcPr>
          <w:p>
            <w:pPr>
              <w:pStyle w:val="TableContents"/>
              <w:bidi w:val="0"/>
              <w:spacing w:before="0" w:after="283"/>
              <w:jc w:val="left"/>
              <w:rPr/>
            </w:pPr>
            <w:r>
              <w:rPr/>
              <w:t>Direct material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13,636</w:t>
            </w:r>
          </w:p>
        </w:tc>
        <w:tc>
          <w:tcPr>
            <w:tcW w:w="110" w:type="dxa"/>
            <w:tcBorders/>
            <w:shd w:fill="CCEEFF" w:val="clear"/>
            <w:vAlign w:val="center"/>
          </w:tcPr>
          <w:p>
            <w:pPr>
              <w:pStyle w:val="TableContents"/>
              <w:bidi w:val="0"/>
              <w:spacing w:before="0" w:after="283"/>
              <w:jc w:val="left"/>
              <w:rPr/>
            </w:pPr>
            <w:r>
              <w:rPr/>
              <w:t> </w:t>
            </w:r>
            <w:bookmarkStart w:id="836" w:name="xdx_408_eus-gaap--CostDirectLabor_pn3n3_"/>
            <w:bookmarkEnd w:id="836"/>
          </w:p>
        </w:tc>
      </w:tr>
      <w:tr>
        <w:trPr/>
        <w:tc>
          <w:tcPr>
            <w:tcW w:w="5405" w:type="dxa"/>
            <w:tcBorders/>
            <w:shd w:fill="FFFFFF" w:val="clear"/>
            <w:vAlign w:val="center"/>
          </w:tcPr>
          <w:p>
            <w:pPr>
              <w:pStyle w:val="TableContents"/>
              <w:bidi w:val="0"/>
              <w:spacing w:before="0" w:after="283"/>
              <w:jc w:val="left"/>
              <w:rPr/>
            </w:pPr>
            <w:r>
              <w:rPr/>
              <w:t>Direct labor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1,516</w:t>
            </w:r>
          </w:p>
        </w:tc>
        <w:tc>
          <w:tcPr>
            <w:tcW w:w="110" w:type="dxa"/>
            <w:tcBorders/>
            <w:shd w:fill="FFFFFF" w:val="clear"/>
            <w:vAlign w:val="center"/>
          </w:tcPr>
          <w:p>
            <w:pPr>
              <w:pStyle w:val="TableContents"/>
              <w:bidi w:val="0"/>
              <w:spacing w:before="0" w:after="283"/>
              <w:jc w:val="left"/>
              <w:rPr/>
            </w:pPr>
            <w:r>
              <w:rPr/>
              <w:t> </w:t>
            </w:r>
            <w:bookmarkStart w:id="837" w:name="xdx_402_eus-gaap--CostOfGoodsAndServices"/>
            <w:bookmarkEnd w:id="837"/>
          </w:p>
        </w:tc>
      </w:tr>
      <w:tr>
        <w:trPr/>
        <w:tc>
          <w:tcPr>
            <w:tcW w:w="5405" w:type="dxa"/>
            <w:tcBorders/>
            <w:shd w:fill="CCEEFF" w:val="clear"/>
            <w:vAlign w:val="center"/>
          </w:tcPr>
          <w:p>
            <w:pPr>
              <w:pStyle w:val="TableContents"/>
              <w:bidi w:val="0"/>
              <w:spacing w:before="0" w:after="283"/>
              <w:jc w:val="left"/>
              <w:rPr/>
            </w:pPr>
            <w:r>
              <w:rPr/>
              <w:t>Direct overhead and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773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885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1,658</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38" w:name="xdx_401_eus-gaap--CostOfGoodsAndServices"/>
            <w:bookmarkEnd w:id="838"/>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16,810</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39" w:name="xdx_405_eus-gaap--GrossProfit_pn3n3_z0EH"/>
            <w:bookmarkEnd w:id="839"/>
          </w:p>
        </w:tc>
      </w:tr>
      <w:tr>
        <w:trPr/>
        <w:tc>
          <w:tcPr>
            <w:tcW w:w="540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500</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6,053</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40" w:name="xdx_403_eus-gaap--ResearchAndDevelopment"/>
            <w:bookmarkEnd w:id="840"/>
          </w:p>
        </w:tc>
      </w:tr>
      <w:tr>
        <w:trPr/>
        <w:tc>
          <w:tcPr>
            <w:tcW w:w="5405" w:type="dxa"/>
            <w:tcBorders/>
            <w:shd w:fill="FFFFFF" w:val="clear"/>
            <w:vAlign w:val="center"/>
          </w:tcPr>
          <w:p>
            <w:pPr>
              <w:pStyle w:val="TableContents"/>
              <w:bidi w:val="0"/>
              <w:spacing w:before="0" w:after="283"/>
              <w:jc w:val="left"/>
              <w:rPr/>
            </w:pPr>
            <w:r>
              <w:rPr/>
              <w:t>Research &amp;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1,628</w:t>
            </w:r>
            <w:bookmarkStart w:id="841" w:name="xdx_F25_z820DIqr62t2"/>
            <w:bookmarkEnd w:id="841"/>
            <w:r>
              <w:rPr>
                <w:rFonts w:ascii="Times New Roman;Times;Serif" w:hAnsi="Times New Roman;Times;Serif"/>
                <w:sz w:val="20"/>
              </w:rPr>
              <w:t>(2)</w:t>
            </w:r>
          </w:p>
        </w:tc>
        <w:tc>
          <w:tcPr>
            <w:tcW w:w="320" w:type="dxa"/>
            <w:tcBorders/>
            <w:shd w:fill="FFFFFF" w:val="clear"/>
            <w:vAlign w:val="center"/>
          </w:tcPr>
          <w:p>
            <w:pPr>
              <w:pStyle w:val="TableContents"/>
              <w:bidi w:val="0"/>
              <w:spacing w:before="0" w:after="283"/>
              <w:jc w:val="left"/>
              <w:rPr>
                <w:position w:val="8"/>
                <w:sz w:val="19"/>
              </w:rPr>
            </w:pP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1,628</w:t>
            </w:r>
          </w:p>
        </w:tc>
        <w:tc>
          <w:tcPr>
            <w:tcW w:w="110" w:type="dxa"/>
            <w:tcBorders/>
            <w:shd w:fill="FFFFFF" w:val="clear"/>
            <w:vAlign w:val="center"/>
          </w:tcPr>
          <w:p>
            <w:pPr>
              <w:pStyle w:val="TableContents"/>
              <w:bidi w:val="0"/>
              <w:spacing w:before="0" w:after="283"/>
              <w:jc w:val="left"/>
              <w:rPr/>
            </w:pPr>
            <w:r>
              <w:rPr/>
              <w:t> </w:t>
            </w:r>
            <w:bookmarkStart w:id="842" w:name="xdx_40B_ecustom--SalesTaxAdjustment_pn3n"/>
            <w:bookmarkEnd w:id="842"/>
          </w:p>
        </w:tc>
      </w:tr>
      <w:tr>
        <w:trPr/>
        <w:tc>
          <w:tcPr>
            <w:tcW w:w="5405" w:type="dxa"/>
            <w:tcBorders/>
            <w:shd w:fill="CCEEFF" w:val="clear"/>
            <w:vAlign w:val="center"/>
          </w:tcPr>
          <w:p>
            <w:pPr>
              <w:pStyle w:val="TableContents"/>
              <w:bidi w:val="0"/>
              <w:spacing w:before="0" w:after="283"/>
              <w:jc w:val="left"/>
              <w:rPr/>
            </w:pPr>
            <w:r>
              <w:rPr/>
              <w:t>Sales tax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 </w:t>
            </w:r>
            <w:bookmarkStart w:id="843" w:name="xdx_40B_ecustom--TransactionFees_pn3n3_z"/>
            <w:bookmarkEnd w:id="843"/>
          </w:p>
        </w:tc>
      </w:tr>
      <w:tr>
        <w:trPr/>
        <w:tc>
          <w:tcPr>
            <w:tcW w:w="5405" w:type="dxa"/>
            <w:tcBorders/>
            <w:shd w:fill="FFFFFF" w:val="clear"/>
            <w:vAlign w:val="center"/>
          </w:tcPr>
          <w:p>
            <w:pPr>
              <w:pStyle w:val="TableContents"/>
              <w:bidi w:val="0"/>
              <w:spacing w:before="0" w:after="283"/>
              <w:jc w:val="left"/>
              <w:rPr/>
            </w:pPr>
            <w:r>
              <w:rPr/>
              <w:t>Credit card &amp; amazon transaction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166</w:t>
            </w:r>
          </w:p>
        </w:tc>
        <w:tc>
          <w:tcPr>
            <w:tcW w:w="110" w:type="dxa"/>
            <w:tcBorders/>
            <w:shd w:fill="FFFFFF" w:val="clear"/>
            <w:vAlign w:val="center"/>
          </w:tcPr>
          <w:p>
            <w:pPr>
              <w:pStyle w:val="TableContents"/>
              <w:bidi w:val="0"/>
              <w:spacing w:before="0" w:after="283"/>
              <w:jc w:val="left"/>
              <w:rPr/>
            </w:pPr>
            <w:r>
              <w:rPr/>
              <w:t> </w:t>
            </w:r>
            <w:bookmarkStart w:id="844" w:name="xdx_401_eus-gaap--OtherGeneralAndAdminis"/>
            <w:bookmarkEnd w:id="844"/>
          </w:p>
        </w:tc>
      </w:tr>
      <w:tr>
        <w:trPr/>
        <w:tc>
          <w:tcPr>
            <w:tcW w:w="5405" w:type="dxa"/>
            <w:tcBorders/>
            <w:shd w:fill="CCEEFF" w:val="clear"/>
            <w:vAlign w:val="center"/>
          </w:tcPr>
          <w:p>
            <w:pPr>
              <w:pStyle w:val="TableContents"/>
              <w:bidi w:val="0"/>
              <w:spacing w:before="0" w:after="283"/>
              <w:jc w:val="left"/>
              <w:rPr/>
            </w:pPr>
            <w:r>
              <w:rPr/>
              <w:t>Other general &amp;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8,930</w:t>
            </w:r>
            <w:bookmarkStart w:id="845" w:name="xdx_F29_zxbOpGvYu7h4"/>
            <w:bookmarkEnd w:id="845"/>
            <w:r>
              <w:rPr>
                <w:rFonts w:ascii="Times New Roman;Times;Serif" w:hAnsi="Times New Roman;Times;Serif"/>
                <w:sz w:val="20"/>
              </w:rPr>
              <w:t>(3)</w:t>
            </w:r>
          </w:p>
        </w:tc>
        <w:tc>
          <w:tcPr>
            <w:tcW w:w="320" w:type="dxa"/>
            <w:tcBorders/>
            <w:shd w:fill="CCEEFF" w:val="cle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8,930</w:t>
            </w:r>
          </w:p>
        </w:tc>
        <w:tc>
          <w:tcPr>
            <w:tcW w:w="110" w:type="dxa"/>
            <w:tcBorders/>
            <w:shd w:fill="CCEEFF" w:val="clear"/>
            <w:vAlign w:val="center"/>
          </w:tcPr>
          <w:p>
            <w:pPr>
              <w:pStyle w:val="TableContents"/>
              <w:bidi w:val="0"/>
              <w:spacing w:before="0" w:after="283"/>
              <w:jc w:val="left"/>
              <w:rPr/>
            </w:pPr>
            <w:r>
              <w:rPr/>
              <w:t> </w:t>
            </w:r>
            <w:bookmarkStart w:id="846" w:name="xdx_408_ecustom--Shipping_pn3n3_z1ykmDpr"/>
            <w:bookmarkEnd w:id="846"/>
          </w:p>
        </w:tc>
      </w:tr>
      <w:tr>
        <w:trPr/>
        <w:tc>
          <w:tcPr>
            <w:tcW w:w="5405" w:type="dxa"/>
            <w:tcBorders/>
            <w:shd w:fill="FFFFFF" w:val="clear"/>
            <w:vAlign w:val="center"/>
          </w:tcPr>
          <w:p>
            <w:pPr>
              <w:pStyle w:val="TableContents"/>
              <w:bidi w:val="0"/>
              <w:spacing w:before="0" w:after="283"/>
              <w:jc w:val="left"/>
              <w:rPr/>
            </w:pPr>
            <w:r>
              <w:rPr/>
              <w:t>Shipping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1,030</w:t>
            </w:r>
          </w:p>
        </w:tc>
        <w:tc>
          <w:tcPr>
            <w:tcW w:w="110" w:type="dxa"/>
            <w:tcBorders/>
            <w:shd w:fill="FFFFFF" w:val="clear"/>
            <w:vAlign w:val="center"/>
          </w:tcPr>
          <w:p>
            <w:pPr>
              <w:pStyle w:val="TableContents"/>
              <w:bidi w:val="0"/>
              <w:spacing w:before="0" w:after="283"/>
              <w:jc w:val="left"/>
              <w:rPr/>
            </w:pPr>
            <w:r>
              <w:rPr/>
              <w:t> </w:t>
            </w:r>
            <w:bookmarkStart w:id="847" w:name="xdx_40E_ecustom--SalesAndMarketingStockC"/>
            <w:bookmarkEnd w:id="847"/>
          </w:p>
        </w:tc>
      </w:tr>
      <w:tr>
        <w:trPr/>
        <w:tc>
          <w:tcPr>
            <w:tcW w:w="5405" w:type="dxa"/>
            <w:tcBorders/>
            <w:shd w:fill="CCEEFF" w:val="clear"/>
            <w:vAlign w:val="center"/>
          </w:tcPr>
          <w:p>
            <w:pPr>
              <w:pStyle w:val="TableContents"/>
              <w:bidi w:val="0"/>
              <w:spacing w:before="0" w:after="283"/>
              <w:jc w:val="left"/>
              <w:rPr/>
            </w:pPr>
            <w:r>
              <w:rPr/>
              <w:t>Sales and marketing 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126</w:t>
            </w:r>
          </w:p>
        </w:tc>
        <w:tc>
          <w:tcPr>
            <w:tcW w:w="110" w:type="dxa"/>
            <w:tcBorders/>
            <w:shd w:fill="CCEEFF" w:val="clear"/>
            <w:vAlign w:val="center"/>
          </w:tcPr>
          <w:p>
            <w:pPr>
              <w:pStyle w:val="TableContents"/>
              <w:bidi w:val="0"/>
              <w:spacing w:before="0" w:after="283"/>
              <w:jc w:val="left"/>
              <w:rPr/>
            </w:pPr>
            <w:r>
              <w:rPr/>
              <w:t> </w:t>
            </w:r>
            <w:bookmarkStart w:id="848" w:name="xdx_40E_ecustom--SalesAndMarketingWages_"/>
            <w:bookmarkEnd w:id="848"/>
          </w:p>
        </w:tc>
      </w:tr>
      <w:tr>
        <w:trPr/>
        <w:tc>
          <w:tcPr>
            <w:tcW w:w="5405" w:type="dxa"/>
            <w:tcBorders/>
            <w:shd w:fill="FFFFFF" w:val="clear"/>
            <w:vAlign w:val="center"/>
          </w:tcPr>
          <w:p>
            <w:pPr>
              <w:pStyle w:val="TableContents"/>
              <w:bidi w:val="0"/>
              <w:spacing w:before="0" w:after="283"/>
              <w:jc w:val="left"/>
              <w:rPr/>
            </w:pPr>
            <w:r>
              <w:rPr/>
              <w:t>Sales and marketing wages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902</w:t>
            </w:r>
          </w:p>
        </w:tc>
        <w:tc>
          <w:tcPr>
            <w:tcW w:w="110" w:type="dxa"/>
            <w:tcBorders/>
            <w:shd w:fill="FFFFFF" w:val="clear"/>
            <w:vAlign w:val="center"/>
          </w:tcPr>
          <w:p>
            <w:pPr>
              <w:pStyle w:val="TableContents"/>
              <w:bidi w:val="0"/>
              <w:spacing w:before="0" w:after="283"/>
              <w:jc w:val="left"/>
              <w:rPr/>
            </w:pPr>
            <w:r>
              <w:rPr/>
              <w:t> </w:t>
            </w:r>
            <w:bookmarkStart w:id="849" w:name="xdx_405_ecustom--MarketingSpend_pn3n3_zS"/>
            <w:bookmarkEnd w:id="849"/>
          </w:p>
        </w:tc>
      </w:tr>
      <w:tr>
        <w:trPr/>
        <w:tc>
          <w:tcPr>
            <w:tcW w:w="5405" w:type="dxa"/>
            <w:tcBorders/>
            <w:shd w:fill="CCEEFF" w:val="clear"/>
            <w:vAlign w:val="center"/>
          </w:tcPr>
          <w:p>
            <w:pPr>
              <w:pStyle w:val="TableContents"/>
              <w:bidi w:val="0"/>
              <w:spacing w:before="0" w:after="283"/>
              <w:jc w:val="left"/>
              <w:rPr/>
            </w:pPr>
            <w:r>
              <w:rPr/>
              <w:t>Marketing spend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1,206</w:t>
            </w:r>
          </w:p>
        </w:tc>
        <w:tc>
          <w:tcPr>
            <w:tcW w:w="110" w:type="dxa"/>
            <w:tcBorders/>
            <w:shd w:fill="CCEEFF" w:val="clear"/>
            <w:vAlign w:val="center"/>
          </w:tcPr>
          <w:p>
            <w:pPr>
              <w:pStyle w:val="TableContents"/>
              <w:bidi w:val="0"/>
              <w:spacing w:before="0" w:after="283"/>
              <w:jc w:val="left"/>
              <w:rPr/>
            </w:pPr>
            <w:r>
              <w:rPr/>
              <w:t> </w:t>
            </w:r>
            <w:bookmarkStart w:id="850" w:name="xdx_404_ecustom--Rent_pn3n3_z9GpfPlxEcyj"/>
            <w:bookmarkEnd w:id="850"/>
          </w:p>
        </w:tc>
      </w:tr>
      <w:tr>
        <w:trPr/>
        <w:tc>
          <w:tcPr>
            <w:tcW w:w="5405" w:type="dxa"/>
            <w:tcBorders/>
            <w:shd w:fill="FFFFFF" w:val="clear"/>
            <w:vAlign w:val="center"/>
          </w:tcPr>
          <w:p>
            <w:pPr>
              <w:pStyle w:val="TableContents"/>
              <w:bidi w:val="0"/>
              <w:spacing w:before="0" w:after="283"/>
              <w:jc w:val="left"/>
              <w:rPr/>
            </w:pPr>
            <w:r>
              <w:rPr/>
              <w:t>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w:t>
            </w:r>
          </w:p>
        </w:tc>
        <w:tc>
          <w:tcPr>
            <w:tcW w:w="110" w:type="dxa"/>
            <w:tcBorders/>
            <w:shd w:fill="FFFFFF" w:val="clear"/>
            <w:vAlign w:val="center"/>
          </w:tcPr>
          <w:p>
            <w:pPr>
              <w:pStyle w:val="TableContents"/>
              <w:bidi w:val="0"/>
              <w:spacing w:before="0" w:after="283"/>
              <w:jc w:val="left"/>
              <w:rPr/>
            </w:pPr>
            <w:r>
              <w:rPr/>
              <w:t> </w:t>
            </w:r>
            <w:bookmarkStart w:id="851" w:name="xdx_401_ecustom--UnallocatedSalesAndMark"/>
            <w:bookmarkEnd w:id="851"/>
          </w:p>
        </w:tc>
      </w:tr>
      <w:tr>
        <w:trPr/>
        <w:tc>
          <w:tcPr>
            <w:tcW w:w="5405" w:type="dxa"/>
            <w:tcBorders/>
            <w:shd w:fill="CCEEFF" w:val="clear"/>
            <w:vAlign w:val="center"/>
          </w:tcPr>
          <w:p>
            <w:pPr>
              <w:pStyle w:val="TableContents"/>
              <w:bidi w:val="0"/>
              <w:spacing w:before="0" w:after="283"/>
              <w:jc w:val="left"/>
              <w:rPr/>
            </w:pPr>
            <w:r>
              <w:rPr/>
              <w:t>Unallocated sales and marketing 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50</w:t>
            </w:r>
            <w:bookmarkStart w:id="852" w:name="xdx_F26_zGSQbBWcEIo9"/>
            <w:bookmarkEnd w:id="852"/>
            <w:r>
              <w:rPr>
                <w:rFonts w:ascii="Times New Roman;Times;Serif" w:hAnsi="Times New Roman;Times;Serif"/>
                <w:sz w:val="20"/>
              </w:rPr>
              <w:t>(4)</w:t>
            </w:r>
          </w:p>
        </w:tc>
        <w:tc>
          <w:tcPr>
            <w:tcW w:w="320" w:type="dxa"/>
            <w:tcBorders/>
            <w:shd w:fill="CCEEFF" w:val="cle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w:t>
            </w:r>
          </w:p>
        </w:tc>
        <w:tc>
          <w:tcPr>
            <w:tcW w:w="110" w:type="dxa"/>
            <w:tcBorders/>
            <w:shd w:fill="CCEEFF" w:val="clear"/>
            <w:vAlign w:val="center"/>
          </w:tcPr>
          <w:p>
            <w:pPr>
              <w:pStyle w:val="TableContents"/>
              <w:bidi w:val="0"/>
              <w:spacing w:before="0" w:after="283"/>
              <w:jc w:val="left"/>
              <w:rPr/>
            </w:pPr>
            <w:r>
              <w:rPr/>
              <w:t> </w:t>
            </w:r>
            <w:bookmarkStart w:id="853" w:name="xdx_404_ecustom--UnallocatedSalesAndMark"/>
            <w:bookmarkEnd w:id="853"/>
          </w:p>
        </w:tc>
      </w:tr>
      <w:tr>
        <w:trPr/>
        <w:tc>
          <w:tcPr>
            <w:tcW w:w="5405" w:type="dxa"/>
            <w:tcBorders/>
            <w:shd w:fill="FFFFFF" w:val="clear"/>
            <w:vAlign w:val="center"/>
          </w:tcPr>
          <w:p>
            <w:pPr>
              <w:pStyle w:val="TableContents"/>
              <w:bidi w:val="0"/>
              <w:spacing w:before="0" w:after="283"/>
              <w:jc w:val="left"/>
              <w:rPr/>
            </w:pPr>
            <w:r>
              <w:rPr/>
              <w:t>Unallocated sales and marketing wages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381</w:t>
            </w:r>
            <w:bookmarkStart w:id="854" w:name="xdx_F27_zLFezixWEUMe"/>
            <w:bookmarkEnd w:id="854"/>
            <w:r>
              <w:rPr>
                <w:rFonts w:ascii="Times New Roman;Times;Serif" w:hAnsi="Times New Roman;Times;Serif"/>
                <w:sz w:val="20"/>
              </w:rPr>
              <w:t>(4)</w:t>
            </w:r>
          </w:p>
        </w:tc>
        <w:tc>
          <w:tcPr>
            <w:tcW w:w="320" w:type="dxa"/>
            <w:tcBorders/>
            <w:shd w:fill="FFFFFF" w:val="clear"/>
            <w:vAlign w:val="center"/>
          </w:tcPr>
          <w:p>
            <w:pPr>
              <w:pStyle w:val="TableContents"/>
              <w:bidi w:val="0"/>
              <w:spacing w:before="0" w:after="283"/>
              <w:jc w:val="left"/>
              <w:rPr>
                <w:position w:val="8"/>
                <w:sz w:val="19"/>
              </w:rPr>
            </w:pP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381</w:t>
            </w:r>
          </w:p>
        </w:tc>
        <w:tc>
          <w:tcPr>
            <w:tcW w:w="110" w:type="dxa"/>
            <w:tcBorders/>
            <w:shd w:fill="FFFFFF" w:val="clear"/>
            <w:vAlign w:val="center"/>
          </w:tcPr>
          <w:p>
            <w:pPr>
              <w:pStyle w:val="TableContents"/>
              <w:bidi w:val="0"/>
              <w:spacing w:before="0" w:after="283"/>
              <w:jc w:val="left"/>
              <w:rPr/>
            </w:pPr>
            <w:r>
              <w:rPr/>
              <w:t> </w:t>
            </w:r>
            <w:bookmarkStart w:id="855" w:name="xdx_40C_eus-gaap--OtherSellingAndMarketi"/>
            <w:bookmarkEnd w:id="855"/>
          </w:p>
        </w:tc>
      </w:tr>
      <w:tr>
        <w:trPr/>
        <w:tc>
          <w:tcPr>
            <w:tcW w:w="5405" w:type="dxa"/>
            <w:tcBorders/>
            <w:shd w:fill="CCEEFF" w:val="clear"/>
            <w:vAlign w:val="center"/>
          </w:tcPr>
          <w:p>
            <w:pPr>
              <w:pStyle w:val="TableContents"/>
              <w:bidi w:val="0"/>
              <w:spacing w:before="0" w:after="283"/>
              <w:jc w:val="left"/>
              <w:rPr/>
            </w:pPr>
            <w:r>
              <w:rPr/>
              <w:t>Other sales &amp;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pPr>
            <w:r>
              <w:rPr/>
              <w:t>219</w:t>
            </w:r>
            <w:bookmarkStart w:id="856" w:name="xdx_F27_z6ochwhxw6Y9"/>
            <w:bookmarkEnd w:id="856"/>
            <w:r>
              <w:rPr>
                <w:rFonts w:ascii="Times New Roman;Times;Serif" w:hAnsi="Times New Roman;Times;Serif"/>
                <w:sz w:val="20"/>
              </w:rPr>
              <w:t>(4)</w:t>
            </w:r>
          </w:p>
        </w:tc>
        <w:tc>
          <w:tcPr>
            <w:tcW w:w="320" w:type="dxa"/>
            <w:tcBorders/>
            <w:shd w:fill="CCEEFF" w:val="cle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219</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57" w:name="xdx_406_eus-gaap--OperatingExpenses_pn3n"/>
            <w:bookmarkEnd w:id="857"/>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11,208</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14,679</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58" w:name="xdx_40B_eus-gaap--OperatingIncomeLoss_pn"/>
            <w:bookmarkEnd w:id="858"/>
          </w:p>
        </w:tc>
      </w:tr>
      <w:tr>
        <w:trPr/>
        <w:tc>
          <w:tcPr>
            <w:tcW w:w="540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(10,708</w:t>
            </w:r>
          </w:p>
        </w:tc>
        <w:tc>
          <w:tcPr>
            <w:tcW w:w="32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(8,626</w:t>
            </w:r>
          </w:p>
        </w:tc>
        <w:tc>
          <w:tcPr>
            <w:tcW w:w="110" w:type="dxa"/>
            <w:tcBorders/>
            <w:shd w:fill="CCEEFF" w:val="clear"/>
            <w:vAlign w:val="center"/>
          </w:tcPr>
          <w:p>
            <w:pPr>
              <w:pStyle w:val="TableContents"/>
              <w:bidi w:val="0"/>
              <w:spacing w:before="0" w:after="283"/>
              <w:jc w:val="left"/>
              <w:rPr/>
            </w:pPr>
            <w:r>
              <w:rPr/>
              <w:t>)</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59" w:name="xdx_40F_eus-gaap--InterestExpenseNonoper"/>
            <w:bookmarkEnd w:id="859"/>
          </w:p>
        </w:tc>
      </w:tr>
      <w:tr>
        <w:trPr/>
        <w:tc>
          <w:tcPr>
            <w:tcW w:w="540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(3,001</w:t>
            </w:r>
          </w:p>
        </w:tc>
        <w:tc>
          <w:tcPr>
            <w:tcW w:w="32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(3,001</w:t>
            </w:r>
          </w:p>
        </w:tc>
        <w:tc>
          <w:tcPr>
            <w:tcW w:w="110" w:type="dxa"/>
            <w:tcBorders/>
            <w:shd w:fill="CCEEFF" w:val="clear"/>
            <w:vAlign w:val="center"/>
          </w:tcPr>
          <w:p>
            <w:pPr>
              <w:pStyle w:val="TableContents"/>
              <w:bidi w:val="0"/>
              <w:spacing w:before="0" w:after="283"/>
              <w:jc w:val="left"/>
              <w:rPr/>
            </w:pPr>
            <w:r>
              <w:rPr/>
              <w:t>)</w:t>
            </w:r>
            <w:bookmarkStart w:id="860" w:name="xdx_404_eus-gaap--OtherNonoperatingIncom"/>
            <w:bookmarkEnd w:id="860"/>
          </w:p>
        </w:tc>
      </w:tr>
      <w:tr>
        <w:trPr/>
        <w:tc>
          <w:tcPr>
            <w:tcW w:w="540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123</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123</w:t>
            </w:r>
          </w:p>
        </w:tc>
        <w:tc>
          <w:tcPr>
            <w:tcW w:w="110" w:type="dxa"/>
            <w:tcBorders/>
            <w:shd w:fill="FFFFFF" w:val="clear"/>
            <w:vAlign w:val="center"/>
          </w:tcPr>
          <w:p>
            <w:pPr>
              <w:pStyle w:val="TableContents"/>
              <w:bidi w:val="0"/>
              <w:spacing w:before="0" w:after="283"/>
              <w:jc w:val="left"/>
              <w:rPr/>
            </w:pPr>
            <w:r>
              <w:rPr/>
              <w:t> </w:t>
            </w:r>
            <w:bookmarkStart w:id="861" w:name="xdx_400_eus-gaap--FairValueAdjustmentOfW"/>
            <w:bookmarkEnd w:id="861"/>
          </w:p>
        </w:tc>
      </w:tr>
      <w:tr>
        <w:trPr/>
        <w:tc>
          <w:tcPr>
            <w:tcW w:w="5405" w:type="dxa"/>
            <w:tcBorders/>
            <w:shd w:fill="CCEEFF" w:val="clear"/>
            <w:vAlign w:val="center"/>
          </w:tcPr>
          <w:p>
            <w:pPr>
              <w:pStyle w:val="TableContents"/>
              <w:bidi w:val="0"/>
              <w:spacing w:before="0" w:after="283"/>
              <w:jc w:val="left"/>
              <w:rPr/>
            </w:pPr>
            <w:r>
              <w:rPr/>
              <w:t>Change in fair market value (“FMV”)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pPr>
            <w:r>
              <w:rPr/>
              <w:t>493</w:t>
            </w:r>
          </w:p>
        </w:tc>
        <w:tc>
          <w:tcPr>
            <w:tcW w:w="3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493</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62" w:name="xdx_40F_eus-gaap--NonoperatingIncomeExpe"/>
            <w:bookmarkEnd w:id="862"/>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(2,385</w:t>
            </w:r>
            <w:bookmarkStart w:id="863" w:name="xdx_F27_zJUU4g3mpZcf"/>
            <w:bookmarkEnd w:id="863"/>
            <w:r>
              <w:rPr>
                <w:rFonts w:ascii="Times New Roman;Times;Serif" w:hAnsi="Times New Roman;Times;Serif"/>
                <w:sz w:val="20"/>
              </w:rPr>
              <w:t>(5)</w:t>
            </w:r>
          </w:p>
        </w:tc>
        <w:tc>
          <w:tcPr>
            <w:tcW w:w="320" w:type="dxa"/>
            <w:tcBorders/>
            <w:shd w:fill="CCEEFF" w:val="clear"/>
            <w:vAlign w:val="center"/>
          </w:tcPr>
          <w:p>
            <w:pPr>
              <w:pStyle w:val="TableContents"/>
              <w:bidi w:val="0"/>
              <w:spacing w:before="0" w:after="283"/>
              <w:jc w:val="left"/>
              <w:rPr/>
            </w:pPr>
            <w:r>
              <w:rPr/>
              <w:t>)</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(2,385</w:t>
            </w:r>
          </w:p>
        </w:tc>
        <w:tc>
          <w:tcPr>
            <w:tcW w:w="110" w:type="dxa"/>
            <w:tcBorders/>
            <w:shd w:fill="CCEEFF" w:val="clear"/>
            <w:vAlign w:val="center"/>
          </w:tcPr>
          <w:p>
            <w:pPr>
              <w:pStyle w:val="TableContents"/>
              <w:bidi w:val="0"/>
              <w:spacing w:before="0" w:after="283"/>
              <w:jc w:val="left"/>
              <w:rPr/>
            </w:pPr>
            <w:r>
              <w:rPr/>
              <w:t>)</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64" w:name="xdx_40F_eus-gaap--IncomeLossFromContinui"/>
            <w:bookmarkEnd w:id="864"/>
          </w:p>
        </w:tc>
      </w:tr>
      <w:tr>
        <w:trPr/>
        <w:tc>
          <w:tcPr>
            <w:tcW w:w="5405" w:type="dxa"/>
            <w:tcBorders/>
            <w:shd w:fill="CCEEFF" w:val="clear"/>
            <w:vAlign w:val="center"/>
          </w:tcPr>
          <w:p>
            <w:pPr>
              <w:pStyle w:val="TableContents"/>
              <w:bidi w:val="0"/>
              <w:spacing w:before="0" w:after="283"/>
              <w:jc w:val="left"/>
              <w:rPr>
                <w:b/>
              </w:rPr>
            </w:pPr>
            <w:r>
              <w:rPr>
                <w:b/>
              </w:rPr>
              <w:t>Net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(880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pPr>
            <w:r>
              <w:rPr/>
              <w:t>(13,093</w:t>
            </w:r>
          </w:p>
        </w:tc>
        <w:tc>
          <w:tcPr>
            <w:tcW w:w="32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(11,011</w:t>
            </w:r>
          </w:p>
        </w:tc>
        <w:tc>
          <w:tcPr>
            <w:tcW w:w="110" w:type="dxa"/>
            <w:tcBorders/>
            <w:shd w:fill="CCEEFF" w:val="clear"/>
            <w:vAlign w:val="center"/>
          </w:tcPr>
          <w:p>
            <w:pPr>
              <w:pStyle w:val="TableContents"/>
              <w:bidi w:val="0"/>
              <w:spacing w:before="0" w:after="283"/>
              <w:jc w:val="left"/>
              <w:rPr/>
            </w:pPr>
            <w:r>
              <w:rPr/>
              <w:t>)</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65" w:name="xdx_409_eus-gaap--IncomeTaxExpenseBenefi"/>
            <w:bookmarkEnd w:id="865"/>
          </w:p>
        </w:tc>
      </w:tr>
      <w:tr>
        <w:trPr/>
        <w:tc>
          <w:tcPr>
            <w:tcW w:w="5405" w:type="dxa"/>
            <w:tcBorders/>
            <w:shd w:fill="CCEEFF" w:val="clear"/>
            <w:vAlign w:val="center"/>
          </w:tcPr>
          <w:p>
            <w:pPr>
              <w:pStyle w:val="TableContents"/>
              <w:bidi w:val="0"/>
              <w:spacing w:before="0" w:after="283"/>
              <w:jc w:val="left"/>
              <w:rPr>
                <w:b/>
              </w:rPr>
            </w:pPr>
            <w:r>
              <w:rPr>
                <w:b/>
              </w:rPr>
              <w:t>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66" w:name="xdx_40D_eus-gaap--NetIncomeLoss_pn3n3_zs"/>
            <w:bookmarkEnd w:id="866"/>
          </w:p>
        </w:tc>
      </w:tr>
      <w:tr>
        <w:trPr/>
        <w:tc>
          <w:tcPr>
            <w:tcW w:w="5405"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(880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pPr>
            <w:r>
              <w:rPr/>
              <w:t>(13,093</w:t>
            </w:r>
          </w:p>
        </w:tc>
        <w:tc>
          <w:tcPr>
            <w:tcW w:w="32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(11,011</w:t>
            </w:r>
          </w:p>
        </w:tc>
        <w:tc>
          <w:tcPr>
            <w:tcW w:w="110" w:type="dxa"/>
            <w:tcBorders/>
            <w:shd w:fill="CCEEFF" w:val="clear"/>
            <w:vAlign w:val="center"/>
          </w:tcPr>
          <w:p>
            <w:pPr>
              <w:pStyle w:val="TableContents"/>
              <w:bidi w:val="0"/>
              <w:spacing w:before="0" w:after="283"/>
              <w:jc w:val="left"/>
              <w:rPr/>
            </w:pPr>
            <w:r>
              <w:rPr/>
              <w:t>)</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i/>
              </w:rPr>
            </w:pPr>
            <w:r>
              <w:rPr>
                <w:i/>
              </w:rPr>
              <w:t>Reconciliation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67" w:name="xdx_406_ecustom--NetIncomeLossReconcilin"/>
            <w:bookmarkEnd w:id="867"/>
          </w:p>
        </w:tc>
      </w:tr>
      <w:tr>
        <w:trPr/>
        <w:tc>
          <w:tcPr>
            <w:tcW w:w="5405" w:type="dxa"/>
            <w:tcBorders/>
            <w:shd w:fill="FFFFFF" w:val="clear"/>
            <w:vAlign w:val="center"/>
          </w:tcPr>
          <w:p>
            <w:pPr>
              <w:pStyle w:val="TableContents"/>
              <w:bidi w:val="0"/>
              <w:spacing w:before="0" w:after="283"/>
              <w:jc w:val="left"/>
              <w:rPr/>
            </w:pPr>
            <w:r>
              <w:rPr/>
              <w:t>Reconciling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68" w:name="xdx_403_eus-gaap--ProfitLoss_pn3n3_zT2Us"/>
            <w:bookmarkEnd w:id="868"/>
          </w:p>
        </w:tc>
      </w:tr>
      <w:tr>
        <w:trPr/>
        <w:tc>
          <w:tcPr>
            <w:tcW w:w="5405" w:type="dxa"/>
            <w:tcBorders/>
            <w:shd w:fill="CCEEFF" w:val="clear"/>
            <w:vAlign w:val="center"/>
          </w:tcPr>
          <w:p>
            <w:pPr>
              <w:pStyle w:val="TableContents"/>
              <w:bidi w:val="0"/>
              <w:spacing w:before="0" w:after="283"/>
              <w:jc w:val="left"/>
              <w:rPr/>
            </w:pPr>
            <w:r>
              <w:rPr/>
              <w:t>Consolidated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(11,011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260"/>
        <w:gridCol w:w="668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869" w:name="xdx_F05_zaXpKnt7AAm5"/>
            <w:bookmarkEnd w:id="869"/>
            <w:r>
              <w:rPr>
                <w:rFonts w:ascii="Times New Roman;Times;Serif" w:hAnsi="Times New Roman;Times;Serif"/>
                <w:sz w:val="20"/>
              </w:rPr>
              <w:t>(1)</w:t>
            </w:r>
          </w:p>
        </w:tc>
        <w:tc>
          <w:tcPr>
            <w:tcW w:w="6680" w:type="dxa"/>
            <w:tcBorders/>
            <w:vAlign w:val="center"/>
          </w:tcPr>
          <w:p>
            <w:pPr>
              <w:pStyle w:val="TableContents"/>
              <w:bidi w:val="0"/>
              <w:spacing w:before="0" w:after="283"/>
              <w:jc w:val="both"/>
              <w:rPr>
                <w:rFonts w:ascii="Times New Roman;Times;Serif" w:hAnsi="Times New Roman;Times;Serif"/>
                <w:sz w:val="20"/>
              </w:rPr>
            </w:pPr>
            <w:bookmarkStart w:id="870" w:name="xdx_F14_zOTXVzllqISi"/>
            <w:bookmarkEnd w:id="870"/>
            <w:r>
              <w:rPr>
                <w:rFonts w:ascii="Times New Roman;Times;Serif" w:hAnsi="Times New Roman;Times;Serif"/>
                <w:sz w:val="20"/>
              </w:rPr>
              <w:t>Licensing Revenue which is not considered a segment as it is currently immaterial</w:t>
            </w:r>
          </w:p>
        </w:tc>
      </w:tr>
    </w:tbl>
    <w:tbl>
      <w:tblPr>
        <w:tblW w:w="7360" w:type="dxa"/>
        <w:jc w:val="left"/>
        <w:tblInd w:w="0" w:type="dxa"/>
        <w:tblLayout w:type="fixed"/>
        <w:tblCellMar>
          <w:top w:w="0" w:type="dxa"/>
          <w:left w:w="0" w:type="dxa"/>
          <w:bottom w:w="0" w:type="dxa"/>
          <w:right w:w="0" w:type="dxa"/>
        </w:tblCellMar>
      </w:tblPr>
      <w:tblGrid>
        <w:gridCol w:w="260"/>
        <w:gridCol w:w="710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871" w:name="xdx_F09_zqwI8cGxrGzf"/>
            <w:bookmarkEnd w:id="871"/>
            <w:r>
              <w:rPr>
                <w:rFonts w:ascii="Times New Roman;Times;Serif" w:hAnsi="Times New Roman;Times;Serif"/>
                <w:sz w:val="20"/>
              </w:rPr>
              <w:t>(2)</w:t>
            </w:r>
          </w:p>
        </w:tc>
        <w:tc>
          <w:tcPr>
            <w:tcW w:w="7100" w:type="dxa"/>
            <w:tcBorders/>
            <w:vAlign w:val="center"/>
          </w:tcPr>
          <w:p>
            <w:pPr>
              <w:pStyle w:val="TableContents"/>
              <w:bidi w:val="0"/>
              <w:spacing w:before="0" w:after="283"/>
              <w:jc w:val="both"/>
              <w:rPr>
                <w:rFonts w:ascii="Times New Roman;Times;Serif" w:hAnsi="Times New Roman;Times;Serif"/>
                <w:sz w:val="20"/>
              </w:rPr>
            </w:pPr>
            <w:bookmarkStart w:id="872" w:name="xdx_F1C_zs599gYXNih9"/>
            <w:bookmarkEnd w:id="872"/>
            <w:r>
              <w:rPr>
                <w:rFonts w:ascii="Times New Roman;Times;Serif" w:hAnsi="Times New Roman;Times;Serif"/>
                <w:sz w:val="20"/>
              </w:rPr>
              <w:t>Research and Development expenses including employee costs related to new products</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right"/>
              <w:rPr>
                <w:rFonts w:ascii="Times New Roman;Times;Serif" w:hAnsi="Times New Roman;Times;Serif"/>
                <w:sz w:val="20"/>
              </w:rPr>
            </w:pPr>
            <w:bookmarkStart w:id="873" w:name="xdx_F06_z2hbSgLUaPD3"/>
            <w:bookmarkEnd w:id="873"/>
            <w:r>
              <w:rPr>
                <w:rFonts w:ascii="Times New Roman;Times;Serif" w:hAnsi="Times New Roman;Times;Serif"/>
                <w:sz w:val="20"/>
              </w:rPr>
              <w:t>(3)</w:t>
            </w:r>
          </w:p>
        </w:tc>
        <w:tc>
          <w:tcPr>
            <w:tcW w:w="9959" w:type="dxa"/>
            <w:tcBorders/>
            <w:vAlign w:val="center"/>
          </w:tcPr>
          <w:p>
            <w:pPr>
              <w:pStyle w:val="TableContents"/>
              <w:bidi w:val="0"/>
              <w:spacing w:before="0" w:after="283"/>
              <w:jc w:val="both"/>
              <w:rPr>
                <w:rFonts w:ascii="Times New Roman;Times;Serif" w:hAnsi="Times New Roman;Times;Serif"/>
                <w:sz w:val="20"/>
              </w:rPr>
            </w:pPr>
            <w:bookmarkStart w:id="874" w:name="xdx_F1C_zQzmRrIGCqh"/>
            <w:bookmarkEnd w:id="874"/>
            <w:r>
              <w:rPr>
                <w:rFonts w:ascii="Times New Roman;Times;Serif" w:hAnsi="Times New Roman;Times;Serif"/>
                <w:sz w:val="20"/>
              </w:rPr>
              <w:t>Administrative and Engineering employee costs along with legal, insurance, professional fees related to administration and other general office expenses</w:t>
            </w:r>
          </w:p>
        </w:tc>
      </w:tr>
    </w:tbl>
    <w:tbl>
      <w:tblPr>
        <w:tblW w:w="6250" w:type="dxa"/>
        <w:jc w:val="left"/>
        <w:tblInd w:w="0" w:type="dxa"/>
        <w:tblLayout w:type="fixed"/>
        <w:tblCellMar>
          <w:top w:w="0" w:type="dxa"/>
          <w:left w:w="0" w:type="dxa"/>
          <w:bottom w:w="0" w:type="dxa"/>
          <w:right w:w="0" w:type="dxa"/>
        </w:tblCellMar>
      </w:tblPr>
      <w:tblGrid>
        <w:gridCol w:w="260"/>
        <w:gridCol w:w="599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875" w:name="xdx_F0E_zJtgAqeOBopd"/>
            <w:bookmarkEnd w:id="875"/>
            <w:r>
              <w:rPr>
                <w:rFonts w:ascii="Times New Roman;Times;Serif" w:hAnsi="Times New Roman;Times;Serif"/>
                <w:sz w:val="20"/>
              </w:rPr>
              <w:t>(4)</w:t>
            </w:r>
          </w:p>
        </w:tc>
        <w:tc>
          <w:tcPr>
            <w:tcW w:w="5990" w:type="dxa"/>
            <w:tcBorders/>
            <w:vAlign w:val="center"/>
          </w:tcPr>
          <w:p>
            <w:pPr>
              <w:pStyle w:val="TableContents"/>
              <w:bidi w:val="0"/>
              <w:spacing w:before="0" w:after="283"/>
              <w:jc w:val="both"/>
              <w:rPr>
                <w:rFonts w:ascii="Times New Roman;Times;Serif" w:hAnsi="Times New Roman;Times;Serif"/>
                <w:sz w:val="20"/>
              </w:rPr>
            </w:pPr>
            <w:bookmarkStart w:id="876" w:name="xdx_F13_za4RFGwCUkO"/>
            <w:bookmarkEnd w:id="876"/>
            <w:r>
              <w:rPr>
                <w:rFonts w:ascii="Times New Roman;Times;Serif" w:hAnsi="Times New Roman;Times;Serif"/>
                <w:sz w:val="20"/>
              </w:rPr>
              <w:t>General sales and marketing employee cost and other marketing expenses</w:t>
            </w:r>
          </w:p>
        </w:tc>
      </w:tr>
    </w:tbl>
    <w:tbl>
      <w:tblPr>
        <w:tblW w:w="6970" w:type="dxa"/>
        <w:jc w:val="left"/>
        <w:tblInd w:w="0" w:type="dxa"/>
        <w:tblLayout w:type="fixed"/>
        <w:tblCellMar>
          <w:top w:w="0" w:type="dxa"/>
          <w:left w:w="0" w:type="dxa"/>
          <w:bottom w:w="0" w:type="dxa"/>
          <w:right w:w="0" w:type="dxa"/>
        </w:tblCellMar>
      </w:tblPr>
      <w:tblGrid>
        <w:gridCol w:w="260"/>
        <w:gridCol w:w="671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877" w:name="xdx_F04_zoM5ZXu7krGc"/>
            <w:bookmarkEnd w:id="877"/>
            <w:r>
              <w:rPr>
                <w:rFonts w:ascii="Times New Roman;Times;Serif" w:hAnsi="Times New Roman;Times;Serif"/>
                <w:sz w:val="20"/>
              </w:rPr>
              <w:t>(5)</w:t>
            </w:r>
          </w:p>
        </w:tc>
        <w:tc>
          <w:tcPr>
            <w:tcW w:w="6710" w:type="dxa"/>
            <w:tcBorders/>
            <w:vAlign w:val="center"/>
          </w:tcPr>
          <w:p>
            <w:pPr>
              <w:pStyle w:val="TableContents"/>
              <w:bidi w:val="0"/>
              <w:spacing w:before="0" w:after="283"/>
              <w:jc w:val="both"/>
              <w:rPr>
                <w:rFonts w:ascii="Times New Roman;Times;Serif" w:hAnsi="Times New Roman;Times;Serif"/>
                <w:sz w:val="20"/>
              </w:rPr>
            </w:pPr>
            <w:bookmarkStart w:id="878" w:name="xdx_F1A_zw87vnU2omIa"/>
            <w:bookmarkEnd w:id="878"/>
            <w:r>
              <w:rPr>
                <w:rFonts w:ascii="Times New Roman;Times;Serif" w:hAnsi="Times New Roman;Times;Serif"/>
                <w:sz w:val="20"/>
              </w:rPr>
              <w:t>Interest expense related to debt and change in fair market value of warrant liability</w:t>
            </w:r>
          </w:p>
        </w:tc>
      </w:tr>
    </w:tbl>
    <w:p>
      <w:pPr>
        <w:pStyle w:val="TextBody"/>
        <w:bidi w:val="0"/>
        <w:spacing w:before="0" w:after="0"/>
        <w:ind w:left="0" w:right="0" w:hanging="0"/>
        <w:jc w:val="both"/>
        <w:rPr>
          <w:caps w:val="false"/>
          <w:smallCaps w:val="false"/>
        </w:rPr>
      </w:pPr>
      <w:bookmarkStart w:id="879" w:name="xdx_8A7_zBfxxQ5Yz9Bf"/>
      <w:bookmarkEnd w:id="87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customer revenues from the Company’s DTC segment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one customer of the Company’s OEM segment represent approximately $</w:t>
      </w:r>
      <w:bookmarkStart w:id="880" w:name="xdx_900_eus-gaap--RevenueFromContractWit"/>
      <w:bookmarkEnd w:id="880"/>
      <w:r>
        <w:rPr>
          <w:rFonts w:ascii="Times New Roman;Times;Serif" w:hAnsi="Times New Roman;Times;Serif"/>
          <w:b w:val="false"/>
          <w:i w:val="false"/>
          <w:caps w:val="false"/>
          <w:smallCaps w:val="false"/>
          <w:sz w:val="20"/>
        </w:rPr>
        <w:t xml:space="preserve">4,947, or </w:t>
      </w:r>
      <w:bookmarkStart w:id="881" w:name="xdx_903_eus-gaap--ConcentrationRiskPerce"/>
      <w:bookmarkEnd w:id="881"/>
      <w:r>
        <w:rPr>
          <w:rFonts w:ascii="Times New Roman;Times;Serif" w:hAnsi="Times New Roman;Times;Serif"/>
          <w:b w:val="false"/>
          <w:i w:val="false"/>
          <w:caps w:val="false"/>
          <w:smallCaps w:val="false"/>
          <w:sz w:val="20"/>
        </w:rPr>
        <w:t>22%, of the Company’s consolidated revenues for the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12 - Reportable Segments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82" w:name="xdx_C03_gL3SOSRIBSTB-JQBTY_zQDyP3W1SZoi"/>
      <w:bookmarkEnd w:id="882"/>
      <w:r>
        <w:rPr>
          <w:rFonts w:ascii="Times New Roman;Times;Serif" w:hAnsi="Times New Roman;Times;Serif"/>
          <w:b w:val="false"/>
          <w:i w:val="false"/>
          <w:caps w:val="false"/>
          <w:smallCaps w:val="false"/>
          <w:sz w:val="20"/>
        </w:rPr>
        <w:t>The following table presents the reportable segments information for the six months ended June 30, 2025:</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83" w:name="xdx_30D_134_za9x52399LNf"/>
      <w:bookmarkStart w:id="884" w:name="xdx_30D_134_za9x52399LNf"/>
      <w:bookmarkEnd w:id="884"/>
    </w:p>
    <w:tbl>
      <w:tblPr>
        <w:tblW w:w="9385" w:type="dxa"/>
        <w:jc w:val="left"/>
        <w:tblInd w:w="0" w:type="dxa"/>
        <w:tblLayout w:type="fixed"/>
        <w:tblCellMar>
          <w:top w:w="0" w:type="dxa"/>
          <w:left w:w="0" w:type="dxa"/>
          <w:bottom w:w="0" w:type="dxa"/>
          <w:right w:w="0" w:type="dxa"/>
        </w:tblCellMar>
      </w:tblPr>
      <w:tblGrid>
        <w:gridCol w:w="5015"/>
        <w:gridCol w:w="60"/>
        <w:gridCol w:w="140"/>
        <w:gridCol w:w="680"/>
        <w:gridCol w:w="60"/>
        <w:gridCol w:w="60"/>
        <w:gridCol w:w="140"/>
        <w:gridCol w:w="680"/>
        <w:gridCol w:w="60"/>
        <w:gridCol w:w="60"/>
        <w:gridCol w:w="140"/>
        <w:gridCol w:w="905"/>
        <w:gridCol w:w="320"/>
        <w:gridCol w:w="60"/>
        <w:gridCol w:w="140"/>
        <w:gridCol w:w="755"/>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85" w:name="xdx_495_20250101__20250630__us-gaap--Sta"/>
            <w:bookmarkEnd w:id="885"/>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DTC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86" w:name="xdx_49A_20250101__20250630__us-gaap--Sta"/>
            <w:bookmarkEnd w:id="886"/>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OEM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87" w:name="xdx_491_20250101__20250630__us-gaap--Sta"/>
            <w:bookmarkEnd w:id="887"/>
          </w:p>
        </w:tc>
        <w:tc>
          <w:tcPr>
            <w:tcW w:w="10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88" w:name="xdx_490_20250101__20250630_z46XKsYPBrVk"/>
            <w:bookmarkEnd w:id="888"/>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889" w:name="xdx_404_eus-gaap--RevenueFromContractWit"/>
            <w:bookmarkEnd w:id="889"/>
          </w:p>
        </w:tc>
      </w:tr>
      <w:tr>
        <w:trPr/>
        <w:tc>
          <w:tcPr>
            <w:tcW w:w="5015"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500</w:t>
            </w:r>
            <w:bookmarkStart w:id="890" w:name="xdx_F24_zWmoE4BbDe13"/>
            <w:bookmarkEnd w:id="890"/>
            <w:r>
              <w:rPr>
                <w:rFonts w:ascii="Times New Roman;Times;Serif" w:hAnsi="Times New Roman;Times;Serif"/>
                <w:sz w:val="20"/>
              </w:rPr>
              <w:t>(1)</w:t>
            </w:r>
          </w:p>
        </w:tc>
        <w:tc>
          <w:tcPr>
            <w:tcW w:w="320"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29,604</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i/>
              </w:rPr>
            </w:pPr>
            <w:r>
              <w:rPr>
                <w:i/>
              </w:rPr>
              <w:t>Reconciliation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91" w:name="xdx_400_ecustom--ReconciliationOfNetSale"/>
            <w:bookmarkEnd w:id="891"/>
          </w:p>
        </w:tc>
      </w:tr>
      <w:tr>
        <w:trPr/>
        <w:tc>
          <w:tcPr>
            <w:tcW w:w="5015" w:type="dxa"/>
            <w:tcBorders/>
            <w:shd w:fill="FFFFFF" w:val="clear"/>
            <w:vAlign w:val="center"/>
          </w:tcPr>
          <w:p>
            <w:pPr>
              <w:pStyle w:val="TableContents"/>
              <w:bidi w:val="0"/>
              <w:spacing w:before="0" w:after="283"/>
              <w:jc w:val="left"/>
              <w:rPr/>
            </w:pPr>
            <w:r>
              <w:rPr/>
              <w:t>Reconciling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92" w:name="xdx_40C_eus-gaap--Revenues_pn3n3_z0i6LPi"/>
            <w:bookmarkEnd w:id="892"/>
          </w:p>
        </w:tc>
      </w:tr>
      <w:tr>
        <w:trPr/>
        <w:tc>
          <w:tcPr>
            <w:tcW w:w="5015" w:type="dxa"/>
            <w:tcBorders/>
            <w:shd w:fill="CCEEFF" w:val="clear"/>
            <w:vAlign w:val="center"/>
          </w:tcPr>
          <w:p>
            <w:pPr>
              <w:pStyle w:val="TableContents"/>
              <w:bidi w:val="0"/>
              <w:spacing w:before="0" w:after="283"/>
              <w:jc w:val="left"/>
              <w:rPr/>
            </w:pPr>
            <w:r>
              <w:rPr/>
              <w:t>Consolidated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29,604</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93" w:name="xdx_403_eus-gaap--CostDirectMaterial_pn3"/>
            <w:bookmarkEnd w:id="893"/>
          </w:p>
        </w:tc>
      </w:tr>
      <w:tr>
        <w:trPr/>
        <w:tc>
          <w:tcPr>
            <w:tcW w:w="5015" w:type="dxa"/>
            <w:tcBorders/>
            <w:shd w:fill="CCEEFF" w:val="clear"/>
            <w:vAlign w:val="center"/>
          </w:tcPr>
          <w:p>
            <w:pPr>
              <w:pStyle w:val="TableContents"/>
              <w:bidi w:val="0"/>
              <w:spacing w:before="0" w:after="283"/>
              <w:jc w:val="left"/>
              <w:rPr/>
            </w:pPr>
            <w:r>
              <w:rPr/>
              <w:t>Direct material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17,240</w:t>
            </w:r>
          </w:p>
        </w:tc>
        <w:tc>
          <w:tcPr>
            <w:tcW w:w="110" w:type="dxa"/>
            <w:tcBorders/>
            <w:shd w:fill="CCEEFF" w:val="clear"/>
            <w:vAlign w:val="center"/>
          </w:tcPr>
          <w:p>
            <w:pPr>
              <w:pStyle w:val="TableContents"/>
              <w:bidi w:val="0"/>
              <w:spacing w:before="0" w:after="283"/>
              <w:jc w:val="left"/>
              <w:rPr/>
            </w:pPr>
            <w:r>
              <w:rPr/>
              <w:t> </w:t>
            </w:r>
            <w:bookmarkStart w:id="894" w:name="xdx_408_eus-gaap--CostDirectLabor_pn3n3_"/>
            <w:bookmarkEnd w:id="894"/>
          </w:p>
        </w:tc>
      </w:tr>
      <w:tr>
        <w:trPr/>
        <w:tc>
          <w:tcPr>
            <w:tcW w:w="5015" w:type="dxa"/>
            <w:tcBorders/>
            <w:shd w:fill="FFFFFF" w:val="clear"/>
            <w:vAlign w:val="center"/>
          </w:tcPr>
          <w:p>
            <w:pPr>
              <w:pStyle w:val="TableContents"/>
              <w:bidi w:val="0"/>
              <w:spacing w:before="0" w:after="283"/>
              <w:jc w:val="left"/>
              <w:rPr/>
            </w:pPr>
            <w:r>
              <w:rPr/>
              <w:t>Direct labor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1,679</w:t>
            </w:r>
          </w:p>
        </w:tc>
        <w:tc>
          <w:tcPr>
            <w:tcW w:w="110" w:type="dxa"/>
            <w:tcBorders/>
            <w:shd w:fill="FFFFFF" w:val="clear"/>
            <w:vAlign w:val="center"/>
          </w:tcPr>
          <w:p>
            <w:pPr>
              <w:pStyle w:val="TableContents"/>
              <w:bidi w:val="0"/>
              <w:spacing w:before="0" w:after="283"/>
              <w:jc w:val="left"/>
              <w:rPr/>
            </w:pPr>
            <w:r>
              <w:rPr/>
              <w:t> </w:t>
            </w:r>
            <w:bookmarkStart w:id="895" w:name="xdx_402_eus-gaap--CostOfGoodsAndServices"/>
            <w:bookmarkEnd w:id="895"/>
          </w:p>
        </w:tc>
      </w:tr>
      <w:tr>
        <w:trPr/>
        <w:tc>
          <w:tcPr>
            <w:tcW w:w="5015" w:type="dxa"/>
            <w:tcBorders/>
            <w:shd w:fill="CCEEFF" w:val="clear"/>
            <w:vAlign w:val="center"/>
          </w:tcPr>
          <w:p>
            <w:pPr>
              <w:pStyle w:val="TableContents"/>
              <w:bidi w:val="0"/>
              <w:spacing w:before="0" w:after="283"/>
              <w:jc w:val="left"/>
              <w:rPr/>
            </w:pPr>
            <w:r>
              <w:rPr/>
              <w:t>Direct overhead and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2,152</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96" w:name="xdx_401_eus-gaap--CostOfGoodsAndServices"/>
            <w:bookmarkEnd w:id="896"/>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21,071</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97" w:name="xdx_405_eus-gaap--GrossProfit_pn3n3_z83X"/>
            <w:bookmarkEnd w:id="897"/>
          </w:p>
        </w:tc>
      </w:tr>
      <w:tr>
        <w:trPr/>
        <w:tc>
          <w:tcPr>
            <w:tcW w:w="501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500</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8,533</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98" w:name="xdx_403_eus-gaap--ResearchAndDevelopment"/>
            <w:bookmarkEnd w:id="898"/>
          </w:p>
        </w:tc>
      </w:tr>
      <w:tr>
        <w:trPr/>
        <w:tc>
          <w:tcPr>
            <w:tcW w:w="5015" w:type="dxa"/>
            <w:tcBorders/>
            <w:shd w:fill="FFFFFF" w:val="clear"/>
            <w:vAlign w:val="center"/>
          </w:tcPr>
          <w:p>
            <w:pPr>
              <w:pStyle w:val="TableContents"/>
              <w:bidi w:val="0"/>
              <w:spacing w:before="0" w:after="283"/>
              <w:jc w:val="left"/>
              <w:rPr/>
            </w:pPr>
            <w:r>
              <w:rPr/>
              <w:t>Research &amp;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1,692</w:t>
            </w:r>
            <w:bookmarkStart w:id="899" w:name="xdx_F26_zHcRjmrYaowe"/>
            <w:bookmarkEnd w:id="899"/>
            <w:r>
              <w:rPr>
                <w:rFonts w:ascii="Times New Roman;Times;Serif" w:hAnsi="Times New Roman;Times;Serif"/>
                <w:sz w:val="20"/>
              </w:rPr>
              <w:t>(2)</w:t>
            </w:r>
          </w:p>
        </w:tc>
        <w:tc>
          <w:tcPr>
            <w:tcW w:w="320" w:type="dxa"/>
            <w:tcBorders/>
            <w:shd w:fill="FFFFFF" w:val="clear"/>
            <w:vAlign w:val="center"/>
          </w:tcPr>
          <w:p>
            <w:pPr>
              <w:pStyle w:val="TableContents"/>
              <w:bidi w:val="0"/>
              <w:spacing w:before="0" w:after="283"/>
              <w:jc w:val="left"/>
              <w:rPr>
                <w:position w:val="8"/>
                <w:sz w:val="19"/>
              </w:rPr>
            </w:pP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1,692</w:t>
            </w:r>
          </w:p>
        </w:tc>
        <w:tc>
          <w:tcPr>
            <w:tcW w:w="110" w:type="dxa"/>
            <w:tcBorders/>
            <w:shd w:fill="FFFFFF" w:val="clear"/>
            <w:vAlign w:val="center"/>
          </w:tcPr>
          <w:p>
            <w:pPr>
              <w:pStyle w:val="TableContents"/>
              <w:bidi w:val="0"/>
              <w:spacing w:before="0" w:after="283"/>
              <w:jc w:val="left"/>
              <w:rPr/>
            </w:pPr>
            <w:r>
              <w:rPr/>
              <w:t> </w:t>
            </w:r>
            <w:bookmarkStart w:id="900" w:name="xdx_40B_ecustom--SalesTaxAdjustment_pn3n"/>
            <w:bookmarkEnd w:id="900"/>
          </w:p>
        </w:tc>
      </w:tr>
      <w:tr>
        <w:trPr/>
        <w:tc>
          <w:tcPr>
            <w:tcW w:w="5015" w:type="dxa"/>
            <w:tcBorders/>
            <w:shd w:fill="CCEEFF" w:val="clear"/>
            <w:vAlign w:val="center"/>
          </w:tcPr>
          <w:p>
            <w:pPr>
              <w:pStyle w:val="TableContents"/>
              <w:bidi w:val="0"/>
              <w:spacing w:before="0" w:after="283"/>
              <w:jc w:val="left"/>
              <w:rPr/>
            </w:pPr>
            <w:r>
              <w:rPr/>
              <w:t>Sales tax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bookmarkStart w:id="901" w:name="xdx_40B_ecustom--TransactionFees_pn3n3_z"/>
            <w:bookmarkEnd w:id="901"/>
          </w:p>
        </w:tc>
      </w:tr>
      <w:tr>
        <w:trPr/>
        <w:tc>
          <w:tcPr>
            <w:tcW w:w="5015" w:type="dxa"/>
            <w:tcBorders/>
            <w:shd w:fill="FFFFFF" w:val="clear"/>
            <w:vAlign w:val="center"/>
          </w:tcPr>
          <w:p>
            <w:pPr>
              <w:pStyle w:val="TableContents"/>
              <w:bidi w:val="0"/>
              <w:spacing w:before="0" w:after="283"/>
              <w:jc w:val="left"/>
              <w:rPr/>
            </w:pPr>
            <w:r>
              <w:rPr/>
              <w:t>Credit card &amp; amazon transaction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258</w:t>
            </w:r>
          </w:p>
        </w:tc>
        <w:tc>
          <w:tcPr>
            <w:tcW w:w="110" w:type="dxa"/>
            <w:tcBorders/>
            <w:shd w:fill="FFFFFF" w:val="clear"/>
            <w:vAlign w:val="center"/>
          </w:tcPr>
          <w:p>
            <w:pPr>
              <w:pStyle w:val="TableContents"/>
              <w:bidi w:val="0"/>
              <w:spacing w:before="0" w:after="283"/>
              <w:jc w:val="left"/>
              <w:rPr/>
            </w:pPr>
            <w:r>
              <w:rPr/>
              <w:t> </w:t>
            </w:r>
            <w:bookmarkStart w:id="902" w:name="xdx_401_eus-gaap--OtherGeneralAndAdminis"/>
            <w:bookmarkEnd w:id="902"/>
          </w:p>
        </w:tc>
      </w:tr>
      <w:tr>
        <w:trPr/>
        <w:tc>
          <w:tcPr>
            <w:tcW w:w="5015" w:type="dxa"/>
            <w:tcBorders/>
            <w:shd w:fill="CCEEFF" w:val="clear"/>
            <w:vAlign w:val="center"/>
          </w:tcPr>
          <w:p>
            <w:pPr>
              <w:pStyle w:val="TableContents"/>
              <w:bidi w:val="0"/>
              <w:spacing w:before="0" w:after="283"/>
              <w:jc w:val="left"/>
              <w:rPr/>
            </w:pPr>
            <w:r>
              <w:rPr/>
              <w:t>Other general &amp;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10,716</w:t>
            </w:r>
            <w:bookmarkStart w:id="903" w:name="xdx_F21_zP5ZpFzzc3fj"/>
            <w:bookmarkEnd w:id="903"/>
            <w:r>
              <w:rPr>
                <w:rFonts w:ascii="Times New Roman;Times;Serif" w:hAnsi="Times New Roman;Times;Serif"/>
                <w:sz w:val="20"/>
              </w:rPr>
              <w:t>(3)</w:t>
            </w:r>
          </w:p>
        </w:tc>
        <w:tc>
          <w:tcPr>
            <w:tcW w:w="320" w:type="dxa"/>
            <w:tcBorders/>
            <w:shd w:fill="CCEEFF" w:val="cle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10,716</w:t>
            </w:r>
          </w:p>
        </w:tc>
        <w:tc>
          <w:tcPr>
            <w:tcW w:w="110" w:type="dxa"/>
            <w:tcBorders/>
            <w:shd w:fill="CCEEFF" w:val="clear"/>
            <w:vAlign w:val="center"/>
          </w:tcPr>
          <w:p>
            <w:pPr>
              <w:pStyle w:val="TableContents"/>
              <w:bidi w:val="0"/>
              <w:spacing w:before="0" w:after="283"/>
              <w:jc w:val="left"/>
              <w:rPr/>
            </w:pPr>
            <w:r>
              <w:rPr/>
              <w:t> </w:t>
            </w:r>
            <w:bookmarkStart w:id="904" w:name="xdx_408_ecustom--Shipping_pn3n3_z6iUKvwq"/>
            <w:bookmarkEnd w:id="904"/>
          </w:p>
        </w:tc>
      </w:tr>
      <w:tr>
        <w:trPr/>
        <w:tc>
          <w:tcPr>
            <w:tcW w:w="5015" w:type="dxa"/>
            <w:tcBorders/>
            <w:shd w:fill="FFFFFF" w:val="clear"/>
            <w:vAlign w:val="center"/>
          </w:tcPr>
          <w:p>
            <w:pPr>
              <w:pStyle w:val="TableContents"/>
              <w:bidi w:val="0"/>
              <w:spacing w:before="0" w:after="283"/>
              <w:jc w:val="left"/>
              <w:rPr/>
            </w:pPr>
            <w:r>
              <w:rPr/>
              <w:t>Shipping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1,389</w:t>
            </w:r>
          </w:p>
        </w:tc>
        <w:tc>
          <w:tcPr>
            <w:tcW w:w="110" w:type="dxa"/>
            <w:tcBorders/>
            <w:shd w:fill="FFFFFF" w:val="clear"/>
            <w:vAlign w:val="center"/>
          </w:tcPr>
          <w:p>
            <w:pPr>
              <w:pStyle w:val="TableContents"/>
              <w:bidi w:val="0"/>
              <w:spacing w:before="0" w:after="283"/>
              <w:jc w:val="left"/>
              <w:rPr/>
            </w:pPr>
            <w:r>
              <w:rPr/>
              <w:t> </w:t>
            </w:r>
            <w:bookmarkStart w:id="905" w:name="xdx_40E_ecustom--SalesAndMarketingStockC"/>
            <w:bookmarkEnd w:id="905"/>
          </w:p>
        </w:tc>
      </w:tr>
      <w:tr>
        <w:trPr/>
        <w:tc>
          <w:tcPr>
            <w:tcW w:w="5015" w:type="dxa"/>
            <w:tcBorders/>
            <w:shd w:fill="CCEEFF" w:val="clear"/>
            <w:vAlign w:val="center"/>
          </w:tcPr>
          <w:p>
            <w:pPr>
              <w:pStyle w:val="TableContents"/>
              <w:bidi w:val="0"/>
              <w:spacing w:before="0" w:after="283"/>
              <w:jc w:val="left"/>
              <w:rPr/>
            </w:pPr>
            <w:r>
              <w:rPr/>
              <w:t>Sales and marketing 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93</w:t>
            </w:r>
          </w:p>
        </w:tc>
        <w:tc>
          <w:tcPr>
            <w:tcW w:w="110" w:type="dxa"/>
            <w:tcBorders/>
            <w:shd w:fill="CCEEFF" w:val="clear"/>
            <w:vAlign w:val="center"/>
          </w:tcPr>
          <w:p>
            <w:pPr>
              <w:pStyle w:val="TableContents"/>
              <w:bidi w:val="0"/>
              <w:spacing w:before="0" w:after="283"/>
              <w:jc w:val="left"/>
              <w:rPr/>
            </w:pPr>
            <w:r>
              <w:rPr/>
              <w:t> </w:t>
            </w:r>
            <w:bookmarkStart w:id="906" w:name="xdx_40E_ecustom--SalesAndMarketingWages_"/>
            <w:bookmarkEnd w:id="906"/>
          </w:p>
        </w:tc>
      </w:tr>
      <w:tr>
        <w:trPr/>
        <w:tc>
          <w:tcPr>
            <w:tcW w:w="5015" w:type="dxa"/>
            <w:tcBorders/>
            <w:shd w:fill="FFFFFF" w:val="clear"/>
            <w:vAlign w:val="center"/>
          </w:tcPr>
          <w:p>
            <w:pPr>
              <w:pStyle w:val="TableContents"/>
              <w:bidi w:val="0"/>
              <w:spacing w:before="0" w:after="283"/>
              <w:jc w:val="left"/>
              <w:rPr/>
            </w:pPr>
            <w:r>
              <w:rPr/>
              <w:t>Sales and marketing wages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1,040</w:t>
            </w:r>
          </w:p>
        </w:tc>
        <w:tc>
          <w:tcPr>
            <w:tcW w:w="110" w:type="dxa"/>
            <w:tcBorders/>
            <w:shd w:fill="FFFFFF" w:val="clear"/>
            <w:vAlign w:val="center"/>
          </w:tcPr>
          <w:p>
            <w:pPr>
              <w:pStyle w:val="TableContents"/>
              <w:bidi w:val="0"/>
              <w:spacing w:before="0" w:after="283"/>
              <w:jc w:val="left"/>
              <w:rPr/>
            </w:pPr>
            <w:r>
              <w:rPr/>
              <w:t> </w:t>
            </w:r>
            <w:bookmarkStart w:id="907" w:name="xdx_405_ecustom--MarketingSpend_pn3n3_zE"/>
            <w:bookmarkEnd w:id="907"/>
          </w:p>
        </w:tc>
      </w:tr>
      <w:tr>
        <w:trPr/>
        <w:tc>
          <w:tcPr>
            <w:tcW w:w="5015" w:type="dxa"/>
            <w:tcBorders/>
            <w:shd w:fill="CCEEFF" w:val="clear"/>
            <w:vAlign w:val="center"/>
          </w:tcPr>
          <w:p>
            <w:pPr>
              <w:pStyle w:val="TableContents"/>
              <w:bidi w:val="0"/>
              <w:spacing w:before="0" w:after="283"/>
              <w:jc w:val="left"/>
              <w:rPr/>
            </w:pPr>
            <w:r>
              <w:rPr/>
              <w:t>Marketing spend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1,443</w:t>
            </w:r>
          </w:p>
        </w:tc>
        <w:tc>
          <w:tcPr>
            <w:tcW w:w="110" w:type="dxa"/>
            <w:tcBorders/>
            <w:shd w:fill="CCEEFF" w:val="clear"/>
            <w:vAlign w:val="center"/>
          </w:tcPr>
          <w:p>
            <w:pPr>
              <w:pStyle w:val="TableContents"/>
              <w:bidi w:val="0"/>
              <w:spacing w:before="0" w:after="283"/>
              <w:jc w:val="left"/>
              <w:rPr/>
            </w:pPr>
            <w:r>
              <w:rPr/>
              <w:t> </w:t>
            </w:r>
            <w:bookmarkStart w:id="908" w:name="xdx_404_ecustom--Rent_pn3n3_z3qTZdkAWPUj"/>
            <w:bookmarkEnd w:id="908"/>
          </w:p>
        </w:tc>
      </w:tr>
      <w:tr>
        <w:trPr/>
        <w:tc>
          <w:tcPr>
            <w:tcW w:w="5015" w:type="dxa"/>
            <w:tcBorders/>
            <w:shd w:fill="FFFFFF" w:val="clear"/>
            <w:vAlign w:val="center"/>
          </w:tcPr>
          <w:p>
            <w:pPr>
              <w:pStyle w:val="TableContents"/>
              <w:bidi w:val="0"/>
              <w:spacing w:before="0" w:after="283"/>
              <w:jc w:val="left"/>
              <w:rPr/>
            </w:pPr>
            <w:r>
              <w:rPr/>
              <w:t>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w:t>
            </w:r>
          </w:p>
        </w:tc>
        <w:tc>
          <w:tcPr>
            <w:tcW w:w="110" w:type="dxa"/>
            <w:tcBorders/>
            <w:shd w:fill="FFFFFF" w:val="clear"/>
            <w:vAlign w:val="center"/>
          </w:tcPr>
          <w:p>
            <w:pPr>
              <w:pStyle w:val="TableContents"/>
              <w:bidi w:val="0"/>
              <w:spacing w:before="0" w:after="283"/>
              <w:jc w:val="left"/>
              <w:rPr/>
            </w:pPr>
            <w:r>
              <w:rPr/>
              <w:t> </w:t>
            </w:r>
            <w:bookmarkStart w:id="909" w:name="xdx_401_ecustom--UnallocatedSalesAndMark"/>
            <w:bookmarkEnd w:id="909"/>
          </w:p>
        </w:tc>
      </w:tr>
      <w:tr>
        <w:trPr/>
        <w:tc>
          <w:tcPr>
            <w:tcW w:w="5015" w:type="dxa"/>
            <w:tcBorders/>
            <w:shd w:fill="CCEEFF" w:val="clear"/>
            <w:vAlign w:val="center"/>
          </w:tcPr>
          <w:p>
            <w:pPr>
              <w:pStyle w:val="TableContents"/>
              <w:bidi w:val="0"/>
              <w:spacing w:before="0" w:after="283"/>
              <w:jc w:val="left"/>
              <w:rPr/>
            </w:pPr>
            <w:r>
              <w:rPr/>
              <w:t>Unallocated sales and marketing 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31</w:t>
            </w:r>
            <w:bookmarkStart w:id="910" w:name="xdx_F28_zN1BILgxygfl"/>
            <w:bookmarkEnd w:id="910"/>
            <w:r>
              <w:rPr>
                <w:rFonts w:ascii="Times New Roman;Times;Serif" w:hAnsi="Times New Roman;Times;Serif"/>
                <w:sz w:val="20"/>
              </w:rPr>
              <w:t>(4)</w:t>
            </w:r>
          </w:p>
        </w:tc>
        <w:tc>
          <w:tcPr>
            <w:tcW w:w="320" w:type="dxa"/>
            <w:tcBorders/>
            <w:shd w:fill="CCEEFF" w:val="cle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w:t>
            </w:r>
          </w:p>
        </w:tc>
        <w:tc>
          <w:tcPr>
            <w:tcW w:w="110" w:type="dxa"/>
            <w:tcBorders/>
            <w:shd w:fill="CCEEFF" w:val="clear"/>
            <w:vAlign w:val="center"/>
          </w:tcPr>
          <w:p>
            <w:pPr>
              <w:pStyle w:val="TableContents"/>
              <w:bidi w:val="0"/>
              <w:spacing w:before="0" w:after="283"/>
              <w:jc w:val="left"/>
              <w:rPr/>
            </w:pPr>
            <w:r>
              <w:rPr/>
              <w:t> </w:t>
            </w:r>
            <w:bookmarkStart w:id="911" w:name="xdx_404_ecustom--UnallocatedSalesAndMark"/>
            <w:bookmarkEnd w:id="911"/>
          </w:p>
        </w:tc>
      </w:tr>
      <w:tr>
        <w:trPr/>
        <w:tc>
          <w:tcPr>
            <w:tcW w:w="5015" w:type="dxa"/>
            <w:tcBorders/>
            <w:shd w:fill="FFFFFF" w:val="clear"/>
            <w:vAlign w:val="center"/>
          </w:tcPr>
          <w:p>
            <w:pPr>
              <w:pStyle w:val="TableContents"/>
              <w:bidi w:val="0"/>
              <w:spacing w:before="0" w:after="283"/>
              <w:jc w:val="left"/>
              <w:rPr/>
            </w:pPr>
            <w:r>
              <w:rPr/>
              <w:t>Unallocated sales and marketing wages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624</w:t>
            </w:r>
            <w:bookmarkStart w:id="912" w:name="xdx_F20_zDSreZpdzwM3"/>
            <w:bookmarkEnd w:id="912"/>
            <w:r>
              <w:rPr>
                <w:rFonts w:ascii="Times New Roman;Times;Serif" w:hAnsi="Times New Roman;Times;Serif"/>
                <w:sz w:val="20"/>
              </w:rPr>
              <w:t>(4)</w:t>
            </w:r>
          </w:p>
        </w:tc>
        <w:tc>
          <w:tcPr>
            <w:tcW w:w="320" w:type="dxa"/>
            <w:tcBorders/>
            <w:shd w:fill="FFFFFF" w:val="clear"/>
            <w:vAlign w:val="center"/>
          </w:tcPr>
          <w:p>
            <w:pPr>
              <w:pStyle w:val="TableContents"/>
              <w:bidi w:val="0"/>
              <w:spacing w:before="0" w:after="283"/>
              <w:jc w:val="left"/>
              <w:rPr>
                <w:position w:val="8"/>
                <w:sz w:val="19"/>
              </w:rPr>
            </w:pP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624</w:t>
            </w:r>
          </w:p>
        </w:tc>
        <w:tc>
          <w:tcPr>
            <w:tcW w:w="110" w:type="dxa"/>
            <w:tcBorders/>
            <w:shd w:fill="FFFFFF" w:val="clear"/>
            <w:vAlign w:val="center"/>
          </w:tcPr>
          <w:p>
            <w:pPr>
              <w:pStyle w:val="TableContents"/>
              <w:bidi w:val="0"/>
              <w:spacing w:before="0" w:after="283"/>
              <w:jc w:val="left"/>
              <w:rPr/>
            </w:pPr>
            <w:r>
              <w:rPr/>
              <w:t> </w:t>
            </w:r>
            <w:bookmarkStart w:id="913" w:name="xdx_40C_eus-gaap--OtherSellingAndMarketi"/>
            <w:bookmarkEnd w:id="913"/>
          </w:p>
        </w:tc>
      </w:tr>
      <w:tr>
        <w:trPr/>
        <w:tc>
          <w:tcPr>
            <w:tcW w:w="5015" w:type="dxa"/>
            <w:tcBorders/>
            <w:shd w:fill="CCEEFF" w:val="clear"/>
            <w:vAlign w:val="center"/>
          </w:tcPr>
          <w:p>
            <w:pPr>
              <w:pStyle w:val="TableContents"/>
              <w:bidi w:val="0"/>
              <w:spacing w:before="0" w:after="283"/>
              <w:jc w:val="left"/>
              <w:rPr/>
            </w:pPr>
            <w:r>
              <w:rPr/>
              <w:t>Other sales &amp;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t>404</w:t>
            </w:r>
            <w:bookmarkStart w:id="914" w:name="xdx_F29_zbSwwGGsidfi"/>
            <w:bookmarkEnd w:id="914"/>
            <w:r>
              <w:rPr>
                <w:rFonts w:ascii="Times New Roman;Times;Serif" w:hAnsi="Times New Roman;Times;Serif"/>
                <w:sz w:val="20"/>
              </w:rPr>
              <w:t>(4)</w:t>
            </w:r>
          </w:p>
        </w:tc>
        <w:tc>
          <w:tcPr>
            <w:tcW w:w="320" w:type="dxa"/>
            <w:tcBorders/>
            <w:shd w:fill="CCEEFF" w:val="cle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404</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15" w:name="xdx_406_eus-gaap--OperatingExpenses_pn3n"/>
            <w:bookmarkEnd w:id="915"/>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13,467</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17,728</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16" w:name="xdx_40B_eus-gaap--OperatingIncomeLoss_pn"/>
            <w:bookmarkEnd w:id="916"/>
          </w:p>
        </w:tc>
      </w:tr>
      <w:tr>
        <w:trPr/>
        <w:tc>
          <w:tcPr>
            <w:tcW w:w="501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(12,967</w:t>
            </w:r>
          </w:p>
        </w:tc>
        <w:tc>
          <w:tcPr>
            <w:tcW w:w="32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(9,195</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17" w:name="xdx_40F_eus-gaap--InterestExpenseNonoper"/>
            <w:bookmarkEnd w:id="917"/>
          </w:p>
        </w:tc>
      </w:tr>
      <w:tr>
        <w:trPr/>
        <w:tc>
          <w:tcPr>
            <w:tcW w:w="501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(10,143</w:t>
            </w:r>
          </w:p>
        </w:tc>
        <w:tc>
          <w:tcPr>
            <w:tcW w:w="32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(10,143</w:t>
            </w:r>
          </w:p>
        </w:tc>
        <w:tc>
          <w:tcPr>
            <w:tcW w:w="110" w:type="dxa"/>
            <w:tcBorders/>
            <w:shd w:fill="CCEEFF" w:val="clear"/>
            <w:vAlign w:val="center"/>
          </w:tcPr>
          <w:p>
            <w:pPr>
              <w:pStyle w:val="TableContents"/>
              <w:bidi w:val="0"/>
              <w:spacing w:before="0" w:after="283"/>
              <w:jc w:val="left"/>
              <w:rPr/>
            </w:pPr>
            <w:r>
              <w:rPr/>
              <w:t>)</w:t>
            </w:r>
            <w:bookmarkStart w:id="918" w:name="xdx_403_eus-gaap--FairValueAdjustmentOfW"/>
            <w:bookmarkEnd w:id="918"/>
          </w:p>
        </w:tc>
      </w:tr>
      <w:tr>
        <w:trPr/>
        <w:tc>
          <w:tcPr>
            <w:tcW w:w="5015" w:type="dxa"/>
            <w:tcBorders/>
            <w:shd w:fill="FFFFFF" w:val="clear"/>
            <w:vAlign w:val="center"/>
          </w:tcPr>
          <w:p>
            <w:pPr>
              <w:pStyle w:val="TableContents"/>
              <w:bidi w:val="0"/>
              <w:spacing w:before="0" w:after="283"/>
              <w:jc w:val="left"/>
              <w:rPr/>
            </w:pPr>
            <w:r>
              <w:rPr/>
              <w:t>Change in FMV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pPr>
            <w:r>
              <w:rPr/>
              <w:t>5,507</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5,507</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19" w:name="xdx_40F_eus-gaap--NonoperatingIncomeExpe"/>
            <w:bookmarkEnd w:id="919"/>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(4,636</w:t>
            </w:r>
            <w:bookmarkStart w:id="920" w:name="xdx_F2E_z5lw8shXuMwe"/>
            <w:bookmarkEnd w:id="920"/>
            <w:r>
              <w:rPr>
                <w:rFonts w:ascii="Times New Roman;Times;Serif" w:hAnsi="Times New Roman;Times;Serif"/>
                <w:sz w:val="20"/>
              </w:rPr>
              <w:t>(5)</w:t>
            </w:r>
          </w:p>
        </w:tc>
        <w:tc>
          <w:tcPr>
            <w:tcW w:w="320" w:type="dxa"/>
            <w:tcBorders/>
            <w:shd w:fill="FFFFFF" w:val="clear"/>
            <w:vAlign w:val="center"/>
          </w:tcPr>
          <w:p>
            <w:pPr>
              <w:pStyle w:val="TableContents"/>
              <w:bidi w:val="0"/>
              <w:spacing w:before="0" w:after="283"/>
              <w:jc w:val="left"/>
              <w:rPr/>
            </w:pPr>
            <w:r>
              <w:rPr/>
              <w:t>)</w:t>
            </w:r>
            <w:r>
              <w:rPr>
                <w:position w:val="8"/>
                <w:sz w:val="19"/>
              </w:rPr>
              <w:t>(5)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(4,636</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21" w:name="xdx_40F_eus-gaap--IncomeLossFromContinui"/>
            <w:bookmarkEnd w:id="921"/>
          </w:p>
        </w:tc>
      </w:tr>
      <w:tr>
        <w:trPr/>
        <w:tc>
          <w:tcPr>
            <w:tcW w:w="5015" w:type="dxa"/>
            <w:tcBorders/>
            <w:shd w:fill="FFFFFF" w:val="clear"/>
            <w:vAlign w:val="center"/>
          </w:tcPr>
          <w:p>
            <w:pPr>
              <w:pStyle w:val="TableContents"/>
              <w:bidi w:val="0"/>
              <w:spacing w:before="0" w:after="283"/>
              <w:jc w:val="left"/>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3,687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pPr>
            <w:r>
              <w:rPr/>
              <w:t>(17,603</w:t>
            </w:r>
          </w:p>
        </w:tc>
        <w:tc>
          <w:tcPr>
            <w:tcW w:w="32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(13,831</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22" w:name="xdx_409_eus-gaap--IncomeTaxExpenseBenefi"/>
            <w:bookmarkEnd w:id="922"/>
          </w:p>
        </w:tc>
      </w:tr>
      <w:tr>
        <w:trPr/>
        <w:tc>
          <w:tcPr>
            <w:tcW w:w="5015" w:type="dxa"/>
            <w:tcBorders/>
            <w:shd w:fill="FFFFFF" w:val="clear"/>
            <w:vAlign w:val="center"/>
          </w:tcPr>
          <w:p>
            <w:pPr>
              <w:pStyle w:val="TableContents"/>
              <w:bidi w:val="0"/>
              <w:spacing w:before="0" w:after="283"/>
              <w:jc w:val="left"/>
              <w:rPr>
                <w:b/>
              </w:rPr>
            </w:pPr>
            <w:r>
              <w:rPr>
                <w:b/>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23" w:name="xdx_40D_eus-gaap--NetIncomeLoss_pn3n3_zo"/>
            <w:bookmarkEnd w:id="923"/>
          </w:p>
        </w:tc>
      </w:tr>
      <w:tr>
        <w:trPr/>
        <w:tc>
          <w:tcPr>
            <w:tcW w:w="5015"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3,687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pPr>
            <w:r>
              <w:rPr/>
              <w:t>(17,603</w:t>
            </w:r>
          </w:p>
        </w:tc>
        <w:tc>
          <w:tcPr>
            <w:tcW w:w="32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(13,831</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i/>
              </w:rPr>
            </w:pPr>
            <w:r>
              <w:rPr>
                <w:i/>
              </w:rPr>
              <w:t>Reconciliation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24" w:name="xdx_406_ecustom--NetIncomeLossReconcilin"/>
            <w:bookmarkEnd w:id="924"/>
          </w:p>
        </w:tc>
      </w:tr>
      <w:tr>
        <w:trPr/>
        <w:tc>
          <w:tcPr>
            <w:tcW w:w="5015" w:type="dxa"/>
            <w:tcBorders/>
            <w:shd w:fill="CCEEFF" w:val="clear"/>
            <w:vAlign w:val="center"/>
          </w:tcPr>
          <w:p>
            <w:pPr>
              <w:pStyle w:val="TableContents"/>
              <w:bidi w:val="0"/>
              <w:spacing w:before="0" w:after="283"/>
              <w:jc w:val="left"/>
              <w:rPr/>
            </w:pPr>
            <w:r>
              <w:rPr/>
              <w:t>Reconciling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925" w:name="xdx_402_eus-gaap--ProfitLoss_pn3n3_zekbt"/>
            <w:bookmarkEnd w:id="925"/>
          </w:p>
        </w:tc>
      </w:tr>
      <w:tr>
        <w:trPr/>
        <w:tc>
          <w:tcPr>
            <w:tcW w:w="5015" w:type="dxa"/>
            <w:tcBorders/>
            <w:shd w:fill="FFFFFF" w:val="clear"/>
            <w:vAlign w:val="center"/>
          </w:tcPr>
          <w:p>
            <w:pPr>
              <w:pStyle w:val="TableContents"/>
              <w:bidi w:val="0"/>
              <w:spacing w:before="0" w:after="283"/>
              <w:jc w:val="left"/>
              <w:rPr/>
            </w:pPr>
            <w:r>
              <w:rPr/>
              <w:t>Consolidated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(13,831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260"/>
        <w:gridCol w:w="668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926" w:name="xdx_F09_za8Y92rBNf9c"/>
            <w:bookmarkEnd w:id="926"/>
            <w:r>
              <w:rPr>
                <w:rFonts w:ascii="Times New Roman;Times;Serif" w:hAnsi="Times New Roman;Times;Serif"/>
                <w:sz w:val="20"/>
              </w:rPr>
              <w:t>(1)</w:t>
            </w:r>
          </w:p>
        </w:tc>
        <w:tc>
          <w:tcPr>
            <w:tcW w:w="6680" w:type="dxa"/>
            <w:tcBorders/>
            <w:vAlign w:val="center"/>
          </w:tcPr>
          <w:p>
            <w:pPr>
              <w:pStyle w:val="TableContents"/>
              <w:bidi w:val="0"/>
              <w:spacing w:before="0" w:after="283"/>
              <w:jc w:val="both"/>
              <w:rPr>
                <w:rFonts w:ascii="Times New Roman;Times;Serif" w:hAnsi="Times New Roman;Times;Serif"/>
                <w:sz w:val="20"/>
              </w:rPr>
            </w:pPr>
            <w:bookmarkStart w:id="927" w:name="xdx_F16_zfN9t6ZQHVV7"/>
            <w:bookmarkEnd w:id="927"/>
            <w:r>
              <w:rPr>
                <w:rFonts w:ascii="Times New Roman;Times;Serif" w:hAnsi="Times New Roman;Times;Serif"/>
                <w:sz w:val="20"/>
              </w:rPr>
              <w:t>Licensing Revenue which is not considered a segment as it is currently immaterial</w:t>
            </w:r>
          </w:p>
        </w:tc>
      </w:tr>
    </w:tbl>
    <w:tbl>
      <w:tblPr>
        <w:tblW w:w="7360" w:type="dxa"/>
        <w:jc w:val="left"/>
        <w:tblInd w:w="0" w:type="dxa"/>
        <w:tblLayout w:type="fixed"/>
        <w:tblCellMar>
          <w:top w:w="0" w:type="dxa"/>
          <w:left w:w="0" w:type="dxa"/>
          <w:bottom w:w="0" w:type="dxa"/>
          <w:right w:w="0" w:type="dxa"/>
        </w:tblCellMar>
      </w:tblPr>
      <w:tblGrid>
        <w:gridCol w:w="260"/>
        <w:gridCol w:w="710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928" w:name="xdx_F08_zKTqnz51SJxg"/>
            <w:bookmarkEnd w:id="928"/>
            <w:r>
              <w:rPr>
                <w:rFonts w:ascii="Times New Roman;Times;Serif" w:hAnsi="Times New Roman;Times;Serif"/>
                <w:sz w:val="20"/>
              </w:rPr>
              <w:t>(2)</w:t>
            </w:r>
          </w:p>
        </w:tc>
        <w:tc>
          <w:tcPr>
            <w:tcW w:w="7100" w:type="dxa"/>
            <w:tcBorders/>
            <w:vAlign w:val="center"/>
          </w:tcPr>
          <w:p>
            <w:pPr>
              <w:pStyle w:val="TableContents"/>
              <w:bidi w:val="0"/>
              <w:spacing w:before="0" w:after="283"/>
              <w:jc w:val="both"/>
              <w:rPr>
                <w:rFonts w:ascii="Times New Roman;Times;Serif" w:hAnsi="Times New Roman;Times;Serif"/>
                <w:sz w:val="20"/>
              </w:rPr>
            </w:pPr>
            <w:bookmarkStart w:id="929" w:name="xdx_F12_z9eo8KwQUgVe"/>
            <w:bookmarkEnd w:id="929"/>
            <w:r>
              <w:rPr>
                <w:rFonts w:ascii="Times New Roman;Times;Serif" w:hAnsi="Times New Roman;Times;Serif"/>
                <w:sz w:val="20"/>
              </w:rPr>
              <w:t>Research and Development expenses including employee costs related to new products</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right"/>
              <w:rPr>
                <w:rFonts w:ascii="Times New Roman;Times;Serif" w:hAnsi="Times New Roman;Times;Serif"/>
                <w:sz w:val="20"/>
              </w:rPr>
            </w:pPr>
            <w:bookmarkStart w:id="930" w:name="xdx_F05_z9V931VXCSXa"/>
            <w:bookmarkEnd w:id="930"/>
            <w:r>
              <w:rPr>
                <w:rFonts w:ascii="Times New Roman;Times;Serif" w:hAnsi="Times New Roman;Times;Serif"/>
                <w:sz w:val="20"/>
              </w:rPr>
              <w:t>(3)</w:t>
            </w:r>
          </w:p>
        </w:tc>
        <w:tc>
          <w:tcPr>
            <w:tcW w:w="9959" w:type="dxa"/>
            <w:tcBorders/>
            <w:vAlign w:val="center"/>
          </w:tcPr>
          <w:p>
            <w:pPr>
              <w:pStyle w:val="TableContents"/>
              <w:bidi w:val="0"/>
              <w:spacing w:before="0" w:after="283"/>
              <w:jc w:val="both"/>
              <w:rPr>
                <w:rFonts w:ascii="Times New Roman;Times;Serif" w:hAnsi="Times New Roman;Times;Serif"/>
                <w:sz w:val="20"/>
              </w:rPr>
            </w:pPr>
            <w:bookmarkStart w:id="931" w:name="xdx_F19_zToemdKJQhD1"/>
            <w:bookmarkEnd w:id="931"/>
            <w:r>
              <w:rPr>
                <w:rFonts w:ascii="Times New Roman;Times;Serif" w:hAnsi="Times New Roman;Times;Serif"/>
                <w:sz w:val="20"/>
              </w:rPr>
              <w:t>Administrative and Engineering employee costs along with legal, insurance, professional fees related to administration and other general office expenses</w:t>
            </w:r>
          </w:p>
        </w:tc>
      </w:tr>
    </w:tbl>
    <w:tbl>
      <w:tblPr>
        <w:tblW w:w="6250" w:type="dxa"/>
        <w:jc w:val="left"/>
        <w:tblInd w:w="0" w:type="dxa"/>
        <w:tblLayout w:type="fixed"/>
        <w:tblCellMar>
          <w:top w:w="0" w:type="dxa"/>
          <w:left w:w="0" w:type="dxa"/>
          <w:bottom w:w="0" w:type="dxa"/>
          <w:right w:w="0" w:type="dxa"/>
        </w:tblCellMar>
      </w:tblPr>
      <w:tblGrid>
        <w:gridCol w:w="260"/>
        <w:gridCol w:w="599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932" w:name="xdx_F04_zCYcyUJpesOl"/>
            <w:bookmarkEnd w:id="932"/>
            <w:r>
              <w:rPr>
                <w:rFonts w:ascii="Times New Roman;Times;Serif" w:hAnsi="Times New Roman;Times;Serif"/>
                <w:sz w:val="20"/>
              </w:rPr>
              <w:t>(4)</w:t>
            </w:r>
          </w:p>
        </w:tc>
        <w:tc>
          <w:tcPr>
            <w:tcW w:w="5990" w:type="dxa"/>
            <w:tcBorders/>
            <w:vAlign w:val="center"/>
          </w:tcPr>
          <w:p>
            <w:pPr>
              <w:pStyle w:val="TableContents"/>
              <w:bidi w:val="0"/>
              <w:spacing w:before="0" w:after="283"/>
              <w:jc w:val="both"/>
              <w:rPr>
                <w:rFonts w:ascii="Times New Roman;Times;Serif" w:hAnsi="Times New Roman;Times;Serif"/>
                <w:sz w:val="20"/>
              </w:rPr>
            </w:pPr>
            <w:bookmarkStart w:id="933" w:name="xdx_F1C_zLO9LqEyBxki"/>
            <w:bookmarkEnd w:id="933"/>
            <w:r>
              <w:rPr>
                <w:rFonts w:ascii="Times New Roman;Times;Serif" w:hAnsi="Times New Roman;Times;Serif"/>
                <w:sz w:val="20"/>
              </w:rPr>
              <w:t>General sales and marketing employee cost and other marketing expenses</w:t>
            </w:r>
          </w:p>
        </w:tc>
      </w:tr>
    </w:tbl>
    <w:tbl>
      <w:tblPr>
        <w:tblW w:w="6970" w:type="dxa"/>
        <w:jc w:val="left"/>
        <w:tblInd w:w="0" w:type="dxa"/>
        <w:tblLayout w:type="fixed"/>
        <w:tblCellMar>
          <w:top w:w="0" w:type="dxa"/>
          <w:left w:w="0" w:type="dxa"/>
          <w:bottom w:w="0" w:type="dxa"/>
          <w:right w:w="0" w:type="dxa"/>
        </w:tblCellMar>
      </w:tblPr>
      <w:tblGrid>
        <w:gridCol w:w="260"/>
        <w:gridCol w:w="671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934" w:name="xdx_F0D_zYBHAa4S0xAa"/>
            <w:bookmarkEnd w:id="934"/>
            <w:r>
              <w:rPr>
                <w:rFonts w:ascii="Times New Roman;Times;Serif" w:hAnsi="Times New Roman;Times;Serif"/>
                <w:sz w:val="20"/>
              </w:rPr>
              <w:t>(5)</w:t>
            </w:r>
          </w:p>
        </w:tc>
        <w:tc>
          <w:tcPr>
            <w:tcW w:w="6710" w:type="dxa"/>
            <w:tcBorders/>
            <w:vAlign w:val="center"/>
          </w:tcPr>
          <w:p>
            <w:pPr>
              <w:pStyle w:val="TableContents"/>
              <w:bidi w:val="0"/>
              <w:spacing w:before="0" w:after="283"/>
              <w:jc w:val="both"/>
              <w:rPr>
                <w:rFonts w:ascii="Times New Roman;Times;Serif" w:hAnsi="Times New Roman;Times;Serif"/>
                <w:sz w:val="20"/>
              </w:rPr>
            </w:pPr>
            <w:bookmarkStart w:id="935" w:name="xdx_F13_zE3Ew9ZnFd36"/>
            <w:bookmarkEnd w:id="935"/>
            <w:r>
              <w:rPr>
                <w:rFonts w:ascii="Times New Roman;Times;Serif" w:hAnsi="Times New Roman;Times;Serif"/>
                <w:sz w:val="20"/>
              </w:rPr>
              <w:t>Interest expense related to debt and change in fair market value of warrant liability</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936" w:name="xdx_C0D_gL3SOSRIBSTB-JQBTY_zMOPdIiUeCp9"/>
      <w:bookmarkEnd w:id="93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customer revenues from the Company’s DTC segment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one customer of the Company’s OEM segment represent approximately $</w:t>
      </w:r>
      <w:bookmarkStart w:id="937" w:name="xdx_902_eus-gaap--RevenueFromContractWit"/>
      <w:bookmarkEnd w:id="937"/>
      <w:r>
        <w:rPr>
          <w:rFonts w:ascii="Times New Roman;Times;Serif" w:hAnsi="Times New Roman;Times;Serif"/>
          <w:b w:val="false"/>
          <w:i w:val="false"/>
          <w:caps w:val="false"/>
          <w:smallCaps w:val="false"/>
          <w:sz w:val="20"/>
        </w:rPr>
        <w:t xml:space="preserve">7,446, or </w:t>
      </w:r>
      <w:bookmarkStart w:id="938" w:name="xdx_90C_eus-gaap--ConcentrationRiskPerce"/>
      <w:bookmarkEnd w:id="938"/>
      <w:r>
        <w:rPr>
          <w:rFonts w:ascii="Times New Roman;Times;Serif" w:hAnsi="Times New Roman;Times;Serif"/>
          <w:b w:val="false"/>
          <w:i w:val="false"/>
          <w:caps w:val="false"/>
          <w:smallCaps w:val="false"/>
          <w:sz w:val="20"/>
        </w:rPr>
        <w:t>26%, of the Company’s consolidated revenues for the six months ended June 30,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12 - Reportable Segments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39" w:name="xdx_C0D_gL3SOSRIBSTB-JQBTY_zsVy4PZgv8Ec"/>
      <w:bookmarkEnd w:id="939"/>
      <w:r>
        <w:rPr>
          <w:rFonts w:ascii="Times New Roman;Times;Serif" w:hAnsi="Times New Roman;Times;Serif"/>
          <w:b w:val="false"/>
          <w:i w:val="false"/>
          <w:caps w:val="false"/>
          <w:smallCaps w:val="false"/>
          <w:sz w:val="20"/>
        </w:rPr>
        <w:t>The following table presents the reportable segments information for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5015"/>
        <w:gridCol w:w="60"/>
        <w:gridCol w:w="140"/>
        <w:gridCol w:w="560"/>
        <w:gridCol w:w="60"/>
        <w:gridCol w:w="60"/>
        <w:gridCol w:w="140"/>
        <w:gridCol w:w="560"/>
        <w:gridCol w:w="60"/>
        <w:gridCol w:w="60"/>
        <w:gridCol w:w="140"/>
        <w:gridCol w:w="860"/>
        <w:gridCol w:w="320"/>
        <w:gridCol w:w="60"/>
        <w:gridCol w:w="140"/>
        <w:gridCol w:w="680"/>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0" w:name="xdx_49E_20260401__20260630__us-gaap--Sta"/>
            <w:bookmarkEnd w:id="940"/>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DTC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1" w:name="xdx_494_20260401__20260630__us-gaap--Sta"/>
            <w:bookmarkEnd w:id="941"/>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OEM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2" w:name="xdx_49F_20260401__20260630__us-gaap--Sta"/>
            <w:bookmarkEnd w:id="942"/>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3" w:name="xdx_49F_20260401__20260630_z7DMiRI1imRe"/>
            <w:bookmarkEnd w:id="943"/>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944" w:name="xdx_404_eus-gaap--RevenueFromContractWit"/>
            <w:bookmarkEnd w:id="944"/>
          </w:p>
        </w:tc>
      </w:tr>
      <w:tr>
        <w:trPr/>
        <w:tc>
          <w:tcPr>
            <w:tcW w:w="5015"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250</w:t>
            </w:r>
            <w:bookmarkStart w:id="945" w:name="xdx_F28_z3ZK8eaSnbq2"/>
            <w:bookmarkEnd w:id="945"/>
            <w:r>
              <w:rPr>
                <w:rFonts w:ascii="Times New Roman;Times;Serif" w:hAnsi="Times New Roman;Times;Serif"/>
                <w:sz w:val="20"/>
              </w:rPr>
              <w:t>(1)</w:t>
            </w:r>
          </w:p>
        </w:tc>
        <w:tc>
          <w:tcPr>
            <w:tcW w:w="320"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13,159</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i/>
              </w:rPr>
            </w:pPr>
            <w:r>
              <w:rPr>
                <w:i/>
              </w:rPr>
              <w:t>Reconciliation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46" w:name="xdx_400_ecustom--ReconciliationOfNetSale"/>
            <w:bookmarkEnd w:id="946"/>
          </w:p>
        </w:tc>
      </w:tr>
      <w:tr>
        <w:trPr/>
        <w:tc>
          <w:tcPr>
            <w:tcW w:w="5015" w:type="dxa"/>
            <w:tcBorders/>
            <w:shd w:fill="FFFFFF" w:val="clear"/>
            <w:vAlign w:val="center"/>
          </w:tcPr>
          <w:p>
            <w:pPr>
              <w:pStyle w:val="TableContents"/>
              <w:bidi w:val="0"/>
              <w:spacing w:before="0" w:after="283"/>
              <w:jc w:val="left"/>
              <w:rPr/>
            </w:pPr>
            <w:r>
              <w:rPr/>
              <w:t>Reconciling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47" w:name="xdx_40C_eus-gaap--Revenues_pn3n3_z98YUCg"/>
            <w:bookmarkEnd w:id="947"/>
          </w:p>
        </w:tc>
      </w:tr>
      <w:tr>
        <w:trPr/>
        <w:tc>
          <w:tcPr>
            <w:tcW w:w="5015" w:type="dxa"/>
            <w:tcBorders/>
            <w:shd w:fill="CCEEFF" w:val="clear"/>
            <w:vAlign w:val="center"/>
          </w:tcPr>
          <w:p>
            <w:pPr>
              <w:pStyle w:val="TableContents"/>
              <w:bidi w:val="0"/>
              <w:spacing w:before="0" w:after="283"/>
              <w:jc w:val="left"/>
              <w:rPr/>
            </w:pPr>
            <w:r>
              <w:rPr/>
              <w:t>Consolidated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13,159</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48" w:name="xdx_403_eus-gaap--CostDirectMaterial_pn3"/>
            <w:bookmarkEnd w:id="948"/>
          </w:p>
        </w:tc>
      </w:tr>
      <w:tr>
        <w:trPr/>
        <w:tc>
          <w:tcPr>
            <w:tcW w:w="5015" w:type="dxa"/>
            <w:tcBorders/>
            <w:shd w:fill="CCEEFF" w:val="clear"/>
            <w:vAlign w:val="center"/>
          </w:tcPr>
          <w:p>
            <w:pPr>
              <w:pStyle w:val="TableContents"/>
              <w:bidi w:val="0"/>
              <w:spacing w:before="0" w:after="283"/>
              <w:jc w:val="left"/>
              <w:rPr/>
            </w:pPr>
            <w:r>
              <w:rPr/>
              <w:t>Direct material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7,589</w:t>
            </w:r>
          </w:p>
        </w:tc>
        <w:tc>
          <w:tcPr>
            <w:tcW w:w="110" w:type="dxa"/>
            <w:tcBorders/>
            <w:shd w:fill="CCEEFF" w:val="clear"/>
            <w:vAlign w:val="center"/>
          </w:tcPr>
          <w:p>
            <w:pPr>
              <w:pStyle w:val="TableContents"/>
              <w:bidi w:val="0"/>
              <w:spacing w:before="0" w:after="283"/>
              <w:jc w:val="left"/>
              <w:rPr/>
            </w:pPr>
            <w:r>
              <w:rPr/>
              <w:t> </w:t>
            </w:r>
            <w:bookmarkStart w:id="949" w:name="xdx_408_eus-gaap--CostDirectLabor_pn3n3_"/>
            <w:bookmarkEnd w:id="949"/>
          </w:p>
        </w:tc>
      </w:tr>
      <w:tr>
        <w:trPr/>
        <w:tc>
          <w:tcPr>
            <w:tcW w:w="5015" w:type="dxa"/>
            <w:tcBorders/>
            <w:shd w:fill="FFFFFF" w:val="clear"/>
            <w:vAlign w:val="center"/>
          </w:tcPr>
          <w:p>
            <w:pPr>
              <w:pStyle w:val="TableContents"/>
              <w:bidi w:val="0"/>
              <w:spacing w:before="0" w:after="283"/>
              <w:jc w:val="left"/>
              <w:rPr/>
            </w:pPr>
            <w:r>
              <w:rPr/>
              <w:t>Direct labor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689</w:t>
            </w:r>
          </w:p>
        </w:tc>
        <w:tc>
          <w:tcPr>
            <w:tcW w:w="110" w:type="dxa"/>
            <w:tcBorders/>
            <w:shd w:fill="FFFFFF" w:val="clear"/>
            <w:vAlign w:val="center"/>
          </w:tcPr>
          <w:p>
            <w:pPr>
              <w:pStyle w:val="TableContents"/>
              <w:bidi w:val="0"/>
              <w:spacing w:before="0" w:after="283"/>
              <w:jc w:val="left"/>
              <w:rPr/>
            </w:pPr>
            <w:r>
              <w:rPr/>
              <w:t> </w:t>
            </w:r>
            <w:bookmarkStart w:id="950" w:name="xdx_402_eus-gaap--CostOfGoodsAndServices"/>
            <w:bookmarkEnd w:id="950"/>
          </w:p>
        </w:tc>
      </w:tr>
      <w:tr>
        <w:trPr/>
        <w:tc>
          <w:tcPr>
            <w:tcW w:w="5015" w:type="dxa"/>
            <w:tcBorders/>
            <w:shd w:fill="CCEEFF" w:val="clear"/>
            <w:vAlign w:val="center"/>
          </w:tcPr>
          <w:p>
            <w:pPr>
              <w:pStyle w:val="TableContents"/>
              <w:bidi w:val="0"/>
              <w:spacing w:before="0" w:after="283"/>
              <w:jc w:val="left"/>
              <w:rPr/>
            </w:pPr>
            <w:r>
              <w:rPr/>
              <w:t>Direct overhead and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538</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51" w:name="xdx_401_eus-gaap--CostOfGoodsAndServices"/>
            <w:bookmarkEnd w:id="951"/>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8,816</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52" w:name="xdx_405_eus-gaap--GrossProfit_pn3n3_zNEs"/>
            <w:bookmarkEnd w:id="952"/>
          </w:p>
        </w:tc>
      </w:tr>
      <w:tr>
        <w:trPr/>
        <w:tc>
          <w:tcPr>
            <w:tcW w:w="501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250</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4,343</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53" w:name="xdx_403_eus-gaap--ResearchAndDevelopment"/>
            <w:bookmarkEnd w:id="953"/>
          </w:p>
        </w:tc>
      </w:tr>
      <w:tr>
        <w:trPr/>
        <w:tc>
          <w:tcPr>
            <w:tcW w:w="5015" w:type="dxa"/>
            <w:tcBorders/>
            <w:shd w:fill="FFFFFF" w:val="clear"/>
            <w:vAlign w:val="center"/>
          </w:tcPr>
          <w:p>
            <w:pPr>
              <w:pStyle w:val="TableContents"/>
              <w:bidi w:val="0"/>
              <w:spacing w:before="0" w:after="283"/>
              <w:jc w:val="left"/>
              <w:rPr/>
            </w:pPr>
            <w:r>
              <w:rPr/>
              <w:t>Research &amp;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648</w:t>
            </w:r>
            <w:bookmarkStart w:id="954" w:name="xdx_F24_zIYFXlbIxLB3"/>
            <w:bookmarkEnd w:id="954"/>
            <w:r>
              <w:rPr>
                <w:rFonts w:ascii="Times New Roman;Times;Serif" w:hAnsi="Times New Roman;Times;Serif"/>
                <w:sz w:val="20"/>
              </w:rPr>
              <w:t>(2)</w:t>
            </w:r>
          </w:p>
        </w:tc>
        <w:tc>
          <w:tcPr>
            <w:tcW w:w="320" w:type="dxa"/>
            <w:tcBorders/>
            <w:shd w:fill="FFFFFF" w:val="clear"/>
            <w:vAlign w:val="center"/>
          </w:tcPr>
          <w:p>
            <w:pPr>
              <w:pStyle w:val="TableContents"/>
              <w:bidi w:val="0"/>
              <w:spacing w:before="0" w:after="283"/>
              <w:jc w:val="left"/>
              <w:rPr>
                <w:position w:val="8"/>
                <w:sz w:val="19"/>
              </w:rPr>
            </w:pP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648</w:t>
            </w:r>
          </w:p>
        </w:tc>
        <w:tc>
          <w:tcPr>
            <w:tcW w:w="110" w:type="dxa"/>
            <w:tcBorders/>
            <w:shd w:fill="FFFFFF" w:val="clear"/>
            <w:vAlign w:val="center"/>
          </w:tcPr>
          <w:p>
            <w:pPr>
              <w:pStyle w:val="TableContents"/>
              <w:bidi w:val="0"/>
              <w:spacing w:before="0" w:after="283"/>
              <w:jc w:val="left"/>
              <w:rPr/>
            </w:pPr>
            <w:r>
              <w:rPr/>
              <w:t> </w:t>
            </w:r>
            <w:bookmarkStart w:id="955" w:name="xdx_40B_ecustom--SalesTaxAdjustment_pn3n"/>
            <w:bookmarkEnd w:id="955"/>
          </w:p>
        </w:tc>
      </w:tr>
      <w:tr>
        <w:trPr/>
        <w:tc>
          <w:tcPr>
            <w:tcW w:w="5015" w:type="dxa"/>
            <w:tcBorders/>
            <w:shd w:fill="CCEEFF" w:val="clear"/>
            <w:vAlign w:val="center"/>
          </w:tcPr>
          <w:p>
            <w:pPr>
              <w:pStyle w:val="TableContents"/>
              <w:bidi w:val="0"/>
              <w:spacing w:before="0" w:after="283"/>
              <w:jc w:val="left"/>
              <w:rPr/>
            </w:pPr>
            <w:r>
              <w:rPr/>
              <w:t>Sales tax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 </w:t>
            </w:r>
            <w:bookmarkStart w:id="956" w:name="xdx_40B_ecustom--TransactionFees_pn3n3_z"/>
            <w:bookmarkEnd w:id="956"/>
          </w:p>
        </w:tc>
      </w:tr>
      <w:tr>
        <w:trPr/>
        <w:tc>
          <w:tcPr>
            <w:tcW w:w="5015" w:type="dxa"/>
            <w:tcBorders/>
            <w:shd w:fill="FFFFFF" w:val="clear"/>
            <w:vAlign w:val="center"/>
          </w:tcPr>
          <w:p>
            <w:pPr>
              <w:pStyle w:val="TableContents"/>
              <w:bidi w:val="0"/>
              <w:spacing w:before="0" w:after="283"/>
              <w:jc w:val="left"/>
              <w:rPr/>
            </w:pPr>
            <w:r>
              <w:rPr/>
              <w:t>Credit card &amp; amazon transaction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84</w:t>
            </w:r>
          </w:p>
        </w:tc>
        <w:tc>
          <w:tcPr>
            <w:tcW w:w="110" w:type="dxa"/>
            <w:tcBorders/>
            <w:shd w:fill="FFFFFF" w:val="clear"/>
            <w:vAlign w:val="center"/>
          </w:tcPr>
          <w:p>
            <w:pPr>
              <w:pStyle w:val="TableContents"/>
              <w:bidi w:val="0"/>
              <w:spacing w:before="0" w:after="283"/>
              <w:jc w:val="left"/>
              <w:rPr/>
            </w:pPr>
            <w:r>
              <w:rPr/>
              <w:t> </w:t>
            </w:r>
            <w:bookmarkStart w:id="957" w:name="xdx_401_eus-gaap--OtherGeneralAndAdminis"/>
            <w:bookmarkEnd w:id="957"/>
          </w:p>
        </w:tc>
      </w:tr>
      <w:tr>
        <w:trPr/>
        <w:tc>
          <w:tcPr>
            <w:tcW w:w="5015" w:type="dxa"/>
            <w:tcBorders/>
            <w:shd w:fill="CCEEFF" w:val="clear"/>
            <w:vAlign w:val="center"/>
          </w:tcPr>
          <w:p>
            <w:pPr>
              <w:pStyle w:val="TableContents"/>
              <w:bidi w:val="0"/>
              <w:spacing w:before="0" w:after="283"/>
              <w:jc w:val="left"/>
              <w:rPr/>
            </w:pPr>
            <w:r>
              <w:rPr/>
              <w:t>Other general &amp;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4,530</w:t>
            </w:r>
            <w:bookmarkStart w:id="958" w:name="xdx_F2F_ze2jU6Zlw741"/>
            <w:bookmarkEnd w:id="958"/>
            <w:r>
              <w:rPr>
                <w:rFonts w:ascii="Times New Roman;Times;Serif" w:hAnsi="Times New Roman;Times;Serif"/>
                <w:sz w:val="20"/>
              </w:rPr>
              <w:t>(3)</w:t>
            </w:r>
          </w:p>
        </w:tc>
        <w:tc>
          <w:tcPr>
            <w:tcW w:w="320" w:type="dxa"/>
            <w:tcBorders/>
            <w:shd w:fill="CCEEFF" w:val="cle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4,530</w:t>
            </w:r>
          </w:p>
        </w:tc>
        <w:tc>
          <w:tcPr>
            <w:tcW w:w="110" w:type="dxa"/>
            <w:tcBorders/>
            <w:shd w:fill="CCEEFF" w:val="clear"/>
            <w:vAlign w:val="center"/>
          </w:tcPr>
          <w:p>
            <w:pPr>
              <w:pStyle w:val="TableContents"/>
              <w:bidi w:val="0"/>
              <w:spacing w:before="0" w:after="283"/>
              <w:jc w:val="left"/>
              <w:rPr/>
            </w:pPr>
            <w:r>
              <w:rPr/>
              <w:t> </w:t>
            </w:r>
            <w:bookmarkStart w:id="959" w:name="xdx_408_ecustom--Shipping_pn3n3_zJ30mkVe"/>
            <w:bookmarkEnd w:id="959"/>
          </w:p>
        </w:tc>
      </w:tr>
      <w:tr>
        <w:trPr/>
        <w:tc>
          <w:tcPr>
            <w:tcW w:w="5015" w:type="dxa"/>
            <w:tcBorders/>
            <w:shd w:fill="FFFFFF" w:val="clear"/>
            <w:vAlign w:val="center"/>
          </w:tcPr>
          <w:p>
            <w:pPr>
              <w:pStyle w:val="TableContents"/>
              <w:bidi w:val="0"/>
              <w:spacing w:before="0" w:after="283"/>
              <w:jc w:val="left"/>
              <w:rPr/>
            </w:pPr>
            <w:r>
              <w:rPr/>
              <w:t>Shipping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666</w:t>
            </w:r>
          </w:p>
        </w:tc>
        <w:tc>
          <w:tcPr>
            <w:tcW w:w="110" w:type="dxa"/>
            <w:tcBorders/>
            <w:shd w:fill="FFFFFF" w:val="clear"/>
            <w:vAlign w:val="center"/>
          </w:tcPr>
          <w:p>
            <w:pPr>
              <w:pStyle w:val="TableContents"/>
              <w:bidi w:val="0"/>
              <w:spacing w:before="0" w:after="283"/>
              <w:jc w:val="left"/>
              <w:rPr/>
            </w:pPr>
            <w:r>
              <w:rPr/>
              <w:t> </w:t>
            </w:r>
            <w:bookmarkStart w:id="960" w:name="xdx_40E_ecustom--SalesAndMarketingStockC"/>
            <w:bookmarkEnd w:id="960"/>
          </w:p>
        </w:tc>
      </w:tr>
      <w:tr>
        <w:trPr/>
        <w:tc>
          <w:tcPr>
            <w:tcW w:w="5015" w:type="dxa"/>
            <w:tcBorders/>
            <w:shd w:fill="CCEEFF" w:val="clear"/>
            <w:vAlign w:val="center"/>
          </w:tcPr>
          <w:p>
            <w:pPr>
              <w:pStyle w:val="TableContents"/>
              <w:bidi w:val="0"/>
              <w:spacing w:before="0" w:after="283"/>
              <w:jc w:val="left"/>
              <w:rPr/>
            </w:pPr>
            <w:r>
              <w:rPr/>
              <w:t>Sales and marketing 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 </w:t>
            </w:r>
            <w:bookmarkStart w:id="961" w:name="xdx_40E_ecustom--SalesAndMarketingWages_"/>
            <w:bookmarkEnd w:id="961"/>
          </w:p>
        </w:tc>
      </w:tr>
      <w:tr>
        <w:trPr/>
        <w:tc>
          <w:tcPr>
            <w:tcW w:w="5015" w:type="dxa"/>
            <w:tcBorders/>
            <w:shd w:fill="FFFFFF" w:val="clear"/>
            <w:vAlign w:val="center"/>
          </w:tcPr>
          <w:p>
            <w:pPr>
              <w:pStyle w:val="TableContents"/>
              <w:bidi w:val="0"/>
              <w:spacing w:before="0" w:after="283"/>
              <w:jc w:val="left"/>
              <w:rPr/>
            </w:pPr>
            <w:r>
              <w:rPr/>
              <w:t>Sales and marketing wages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409</w:t>
            </w:r>
          </w:p>
        </w:tc>
        <w:tc>
          <w:tcPr>
            <w:tcW w:w="110" w:type="dxa"/>
            <w:tcBorders/>
            <w:shd w:fill="FFFFFF" w:val="clear"/>
            <w:vAlign w:val="center"/>
          </w:tcPr>
          <w:p>
            <w:pPr>
              <w:pStyle w:val="TableContents"/>
              <w:bidi w:val="0"/>
              <w:spacing w:before="0" w:after="283"/>
              <w:jc w:val="left"/>
              <w:rPr/>
            </w:pPr>
            <w:r>
              <w:rPr/>
              <w:t> </w:t>
            </w:r>
            <w:bookmarkStart w:id="962" w:name="xdx_405_ecustom--MarketingSpend_pn3n3_zn"/>
            <w:bookmarkEnd w:id="962"/>
          </w:p>
        </w:tc>
      </w:tr>
      <w:tr>
        <w:trPr/>
        <w:tc>
          <w:tcPr>
            <w:tcW w:w="5015" w:type="dxa"/>
            <w:tcBorders/>
            <w:shd w:fill="CCEEFF" w:val="clear"/>
            <w:vAlign w:val="center"/>
          </w:tcPr>
          <w:p>
            <w:pPr>
              <w:pStyle w:val="TableContents"/>
              <w:bidi w:val="0"/>
              <w:spacing w:before="0" w:after="283"/>
              <w:jc w:val="left"/>
              <w:rPr/>
            </w:pPr>
            <w:r>
              <w:rPr/>
              <w:t>Marketing spend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490</w:t>
            </w:r>
          </w:p>
        </w:tc>
        <w:tc>
          <w:tcPr>
            <w:tcW w:w="110" w:type="dxa"/>
            <w:tcBorders/>
            <w:shd w:fill="CCEEFF" w:val="clear"/>
            <w:vAlign w:val="center"/>
          </w:tcPr>
          <w:p>
            <w:pPr>
              <w:pStyle w:val="TableContents"/>
              <w:bidi w:val="0"/>
              <w:spacing w:before="0" w:after="283"/>
              <w:jc w:val="left"/>
              <w:rPr/>
            </w:pPr>
            <w:r>
              <w:rPr/>
              <w:t> </w:t>
            </w:r>
            <w:bookmarkStart w:id="963" w:name="xdx_404_ecustom--Rent_pn3n3_zgzIshTbEpEl"/>
            <w:bookmarkEnd w:id="963"/>
          </w:p>
        </w:tc>
      </w:tr>
      <w:tr>
        <w:trPr/>
        <w:tc>
          <w:tcPr>
            <w:tcW w:w="5015" w:type="dxa"/>
            <w:tcBorders/>
            <w:shd w:fill="FFFFFF" w:val="clear"/>
            <w:vAlign w:val="center"/>
          </w:tcPr>
          <w:p>
            <w:pPr>
              <w:pStyle w:val="TableContents"/>
              <w:bidi w:val="0"/>
              <w:spacing w:before="0" w:after="283"/>
              <w:jc w:val="left"/>
              <w:rPr/>
            </w:pPr>
            <w:r>
              <w:rPr/>
              <w:t>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w:t>
            </w:r>
          </w:p>
        </w:tc>
        <w:tc>
          <w:tcPr>
            <w:tcW w:w="110" w:type="dxa"/>
            <w:tcBorders/>
            <w:shd w:fill="FFFFFF" w:val="clear"/>
            <w:vAlign w:val="center"/>
          </w:tcPr>
          <w:p>
            <w:pPr>
              <w:pStyle w:val="TableContents"/>
              <w:bidi w:val="0"/>
              <w:spacing w:before="0" w:after="283"/>
              <w:jc w:val="left"/>
              <w:rPr/>
            </w:pPr>
            <w:r>
              <w:rPr/>
              <w:t> </w:t>
            </w:r>
            <w:bookmarkStart w:id="964" w:name="xdx_401_ecustom--UnallocatedSalesAndMark"/>
            <w:bookmarkEnd w:id="964"/>
          </w:p>
        </w:tc>
      </w:tr>
      <w:tr>
        <w:trPr/>
        <w:tc>
          <w:tcPr>
            <w:tcW w:w="5015" w:type="dxa"/>
            <w:tcBorders/>
            <w:shd w:fill="CCEEFF" w:val="clear"/>
            <w:vAlign w:val="center"/>
          </w:tcPr>
          <w:p>
            <w:pPr>
              <w:pStyle w:val="TableContents"/>
              <w:bidi w:val="0"/>
              <w:spacing w:before="0" w:after="283"/>
              <w:jc w:val="left"/>
              <w:rPr/>
            </w:pPr>
            <w:r>
              <w:rPr/>
              <w:t>Unallocated sales and marketing 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45</w:t>
            </w:r>
            <w:bookmarkStart w:id="965" w:name="xdx_F2C_zR8y5oclk6sa"/>
            <w:bookmarkEnd w:id="965"/>
            <w:r>
              <w:rPr>
                <w:rFonts w:ascii="Times New Roman;Times;Serif" w:hAnsi="Times New Roman;Times;Serif"/>
                <w:sz w:val="20"/>
              </w:rPr>
              <w:t>(4)</w:t>
            </w:r>
          </w:p>
        </w:tc>
        <w:tc>
          <w:tcPr>
            <w:tcW w:w="320" w:type="dxa"/>
            <w:tcBorders/>
            <w:shd w:fill="CCEEFF" w:val="cle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w:t>
            </w:r>
          </w:p>
        </w:tc>
        <w:tc>
          <w:tcPr>
            <w:tcW w:w="110" w:type="dxa"/>
            <w:tcBorders/>
            <w:shd w:fill="CCEEFF" w:val="clear"/>
            <w:vAlign w:val="center"/>
          </w:tcPr>
          <w:p>
            <w:pPr>
              <w:pStyle w:val="TableContents"/>
              <w:bidi w:val="0"/>
              <w:spacing w:before="0" w:after="283"/>
              <w:jc w:val="left"/>
              <w:rPr/>
            </w:pPr>
            <w:r>
              <w:rPr/>
              <w:t> </w:t>
            </w:r>
            <w:bookmarkStart w:id="966" w:name="xdx_404_ecustom--UnallocatedSalesAndMark"/>
            <w:bookmarkEnd w:id="966"/>
          </w:p>
        </w:tc>
      </w:tr>
      <w:tr>
        <w:trPr/>
        <w:tc>
          <w:tcPr>
            <w:tcW w:w="5015" w:type="dxa"/>
            <w:tcBorders/>
            <w:shd w:fill="FFFFFF" w:val="clear"/>
            <w:vAlign w:val="center"/>
          </w:tcPr>
          <w:p>
            <w:pPr>
              <w:pStyle w:val="TableContents"/>
              <w:bidi w:val="0"/>
              <w:spacing w:before="0" w:after="283"/>
              <w:jc w:val="left"/>
              <w:rPr/>
            </w:pPr>
            <w:r>
              <w:rPr/>
              <w:t>Unallocated sales and marketing wages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137</w:t>
            </w:r>
            <w:bookmarkStart w:id="967" w:name="xdx_F24_zn8TyApRK8Il"/>
            <w:bookmarkEnd w:id="967"/>
            <w:r>
              <w:rPr>
                <w:rFonts w:ascii="Times New Roman;Times;Serif" w:hAnsi="Times New Roman;Times;Serif"/>
                <w:sz w:val="20"/>
              </w:rPr>
              <w:t>(4)</w:t>
            </w:r>
          </w:p>
        </w:tc>
        <w:tc>
          <w:tcPr>
            <w:tcW w:w="320" w:type="dxa"/>
            <w:tcBorders/>
            <w:shd w:fill="FFFFFF" w:val="clear"/>
            <w:vAlign w:val="center"/>
          </w:tcPr>
          <w:p>
            <w:pPr>
              <w:pStyle w:val="TableContents"/>
              <w:bidi w:val="0"/>
              <w:spacing w:before="0" w:after="283"/>
              <w:jc w:val="left"/>
              <w:rPr>
                <w:position w:val="8"/>
                <w:sz w:val="19"/>
              </w:rPr>
            </w:pP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137</w:t>
            </w:r>
          </w:p>
        </w:tc>
        <w:tc>
          <w:tcPr>
            <w:tcW w:w="110" w:type="dxa"/>
            <w:tcBorders/>
            <w:shd w:fill="FFFFFF" w:val="clear"/>
            <w:vAlign w:val="center"/>
          </w:tcPr>
          <w:p>
            <w:pPr>
              <w:pStyle w:val="TableContents"/>
              <w:bidi w:val="0"/>
              <w:spacing w:before="0" w:after="283"/>
              <w:jc w:val="left"/>
              <w:rPr/>
            </w:pPr>
            <w:r>
              <w:rPr/>
              <w:t> </w:t>
            </w:r>
            <w:bookmarkStart w:id="968" w:name="xdx_40C_eus-gaap--OtherSellingAndMarketi"/>
            <w:bookmarkEnd w:id="968"/>
          </w:p>
        </w:tc>
      </w:tr>
      <w:tr>
        <w:trPr/>
        <w:tc>
          <w:tcPr>
            <w:tcW w:w="5015" w:type="dxa"/>
            <w:tcBorders/>
            <w:shd w:fill="CCEEFF" w:val="clear"/>
            <w:vAlign w:val="center"/>
          </w:tcPr>
          <w:p>
            <w:pPr>
              <w:pStyle w:val="TableContents"/>
              <w:bidi w:val="0"/>
              <w:spacing w:before="0" w:after="283"/>
              <w:jc w:val="left"/>
              <w:rPr/>
            </w:pPr>
            <w:r>
              <w:rPr/>
              <w:t>Other sales &amp;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pPr>
            <w:r>
              <w:rPr/>
              <w:t>101</w:t>
            </w:r>
            <w:bookmarkStart w:id="969" w:name="xdx_F23_zeNxIZY879K"/>
            <w:bookmarkEnd w:id="969"/>
            <w:r>
              <w:rPr>
                <w:rFonts w:ascii="Times New Roman;Times;Serif" w:hAnsi="Times New Roman;Times;Serif"/>
                <w:sz w:val="20"/>
              </w:rPr>
              <w:t>(4)</w:t>
            </w:r>
          </w:p>
        </w:tc>
        <w:tc>
          <w:tcPr>
            <w:tcW w:w="320" w:type="dxa"/>
            <w:tcBorders/>
            <w:shd w:fill="CCEEFF" w:val="cle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101</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70" w:name="xdx_406_eus-gaap--OperatingExpenses_pn3n"/>
            <w:bookmarkEnd w:id="970"/>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5,461</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7,242</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71" w:name="xdx_40B_eus-gaap--OperatingIncomeLoss_pn"/>
            <w:bookmarkEnd w:id="971"/>
          </w:p>
        </w:tc>
      </w:tr>
      <w:tr>
        <w:trPr/>
        <w:tc>
          <w:tcPr>
            <w:tcW w:w="501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(5,211</w:t>
            </w:r>
          </w:p>
        </w:tc>
        <w:tc>
          <w:tcPr>
            <w:tcW w:w="32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(2,899</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72" w:name="xdx_40F_eus-gaap--InterestExpenseNonoper"/>
            <w:bookmarkEnd w:id="972"/>
          </w:p>
        </w:tc>
      </w:tr>
      <w:tr>
        <w:trPr/>
        <w:tc>
          <w:tcPr>
            <w:tcW w:w="501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(1,536</w:t>
            </w:r>
          </w:p>
        </w:tc>
        <w:tc>
          <w:tcPr>
            <w:tcW w:w="32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(1,536</w:t>
            </w:r>
          </w:p>
        </w:tc>
        <w:tc>
          <w:tcPr>
            <w:tcW w:w="110" w:type="dxa"/>
            <w:tcBorders/>
            <w:shd w:fill="CCEEFF" w:val="clear"/>
            <w:vAlign w:val="center"/>
          </w:tcPr>
          <w:p>
            <w:pPr>
              <w:pStyle w:val="TableContents"/>
              <w:bidi w:val="0"/>
              <w:spacing w:before="0" w:after="283"/>
              <w:jc w:val="left"/>
              <w:rPr/>
            </w:pPr>
            <w:r>
              <w:rPr/>
              <w:t>)</w:t>
            </w:r>
            <w:bookmarkStart w:id="973" w:name="xdx_404_eus-gaap--OtherNonoperatingIncom"/>
            <w:bookmarkEnd w:id="973"/>
          </w:p>
        </w:tc>
      </w:tr>
      <w:tr>
        <w:trPr/>
        <w:tc>
          <w:tcPr>
            <w:tcW w:w="501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62</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62</w:t>
            </w:r>
          </w:p>
        </w:tc>
        <w:tc>
          <w:tcPr>
            <w:tcW w:w="110" w:type="dxa"/>
            <w:tcBorders/>
            <w:shd w:fill="FFFFFF" w:val="clear"/>
            <w:vAlign w:val="center"/>
          </w:tcPr>
          <w:p>
            <w:pPr>
              <w:pStyle w:val="TableContents"/>
              <w:bidi w:val="0"/>
              <w:spacing w:before="0" w:after="283"/>
              <w:jc w:val="left"/>
              <w:rPr/>
            </w:pPr>
            <w:r>
              <w:rPr/>
              <w:t> </w:t>
            </w:r>
            <w:bookmarkStart w:id="974" w:name="xdx_400_eus-gaap--FairValueAdjustmentOfW"/>
            <w:bookmarkEnd w:id="974"/>
          </w:p>
        </w:tc>
      </w:tr>
      <w:tr>
        <w:trPr/>
        <w:tc>
          <w:tcPr>
            <w:tcW w:w="5015" w:type="dxa"/>
            <w:tcBorders/>
            <w:shd w:fill="CCEEFF" w:val="clear"/>
            <w:vAlign w:val="center"/>
          </w:tcPr>
          <w:p>
            <w:pPr>
              <w:pStyle w:val="TableContents"/>
              <w:bidi w:val="0"/>
              <w:spacing w:before="0" w:after="283"/>
              <w:jc w:val="left"/>
              <w:rPr/>
            </w:pPr>
            <w:r>
              <w:rPr/>
              <w:t>Change in FMV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32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75" w:name="xdx_40F_eus-gaap--NonoperatingIncomeExpe"/>
            <w:bookmarkEnd w:id="975"/>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(1,487</w:t>
            </w:r>
            <w:bookmarkStart w:id="976" w:name="xdx_F2F_zF2jWlDK9Iul"/>
            <w:bookmarkEnd w:id="976"/>
            <w:r>
              <w:rPr>
                <w:rFonts w:ascii="Times New Roman;Times;Serif" w:hAnsi="Times New Roman;Times;Serif"/>
                <w:sz w:val="20"/>
              </w:rPr>
              <w:t>(5)</w:t>
            </w:r>
          </w:p>
        </w:tc>
        <w:tc>
          <w:tcPr>
            <w:tcW w:w="320" w:type="dxa"/>
            <w:tcBorders/>
            <w:shd w:fill="CCEEFF" w:val="clear"/>
            <w:vAlign w:val="center"/>
          </w:tcPr>
          <w:p>
            <w:pPr>
              <w:pStyle w:val="TableContents"/>
              <w:bidi w:val="0"/>
              <w:spacing w:before="0" w:after="283"/>
              <w:jc w:val="left"/>
              <w:rPr/>
            </w:pPr>
            <w:r>
              <w:rPr/>
              <w:t>)</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(1,487</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77" w:name="xdx_40F_eus-gaap--IncomeLossFromContinui"/>
            <w:bookmarkEnd w:id="977"/>
          </w:p>
        </w:tc>
      </w:tr>
      <w:tr>
        <w:trPr/>
        <w:tc>
          <w:tcPr>
            <w:tcW w:w="5015" w:type="dxa"/>
            <w:tcBorders/>
            <w:shd w:fill="CCEEFF" w:val="clear"/>
            <w:vAlign w:val="center"/>
          </w:tcPr>
          <w:p>
            <w:pPr>
              <w:pStyle w:val="TableContents"/>
              <w:bidi w:val="0"/>
              <w:spacing w:before="0" w:after="283"/>
              <w:jc w:val="left"/>
              <w:rPr>
                <w:b/>
              </w:rPr>
            </w:pPr>
            <w:r>
              <w:rPr>
                <w:b/>
              </w:rPr>
              <w:t>Net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2,312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pPr>
            <w:r>
              <w:rPr/>
              <w:t>(6,698</w:t>
            </w:r>
          </w:p>
        </w:tc>
        <w:tc>
          <w:tcPr>
            <w:tcW w:w="32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(4,386</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78" w:name="xdx_409_eus-gaap--IncomeTaxExpenseBenefi"/>
            <w:bookmarkEnd w:id="978"/>
          </w:p>
        </w:tc>
      </w:tr>
      <w:tr>
        <w:trPr/>
        <w:tc>
          <w:tcPr>
            <w:tcW w:w="5015" w:type="dxa"/>
            <w:tcBorders/>
            <w:shd w:fill="CCEEFF" w:val="clear"/>
            <w:vAlign w:val="center"/>
          </w:tcPr>
          <w:p>
            <w:pPr>
              <w:pStyle w:val="TableContents"/>
              <w:bidi w:val="0"/>
              <w:spacing w:before="0" w:after="283"/>
              <w:jc w:val="left"/>
              <w:rPr>
                <w:b/>
              </w:rPr>
            </w:pPr>
            <w:r>
              <w:rPr>
                <w:b/>
              </w:rPr>
              <w:t>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79" w:name="xdx_40D_eus-gaap--NetIncomeLoss_pn3n3_za"/>
            <w:bookmarkEnd w:id="979"/>
          </w:p>
        </w:tc>
      </w:tr>
      <w:tr>
        <w:trPr/>
        <w:tc>
          <w:tcPr>
            <w:tcW w:w="5015"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2,312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pPr>
            <w:r>
              <w:rPr/>
              <w:t>(6,698</w:t>
            </w:r>
          </w:p>
        </w:tc>
        <w:tc>
          <w:tcPr>
            <w:tcW w:w="32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(4,386</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i/>
              </w:rPr>
            </w:pPr>
            <w:r>
              <w:rPr>
                <w:i/>
              </w:rPr>
              <w:t>Reconciliation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80" w:name="xdx_406_ecustom--NetIncomeLossReconcilin"/>
            <w:bookmarkEnd w:id="980"/>
          </w:p>
        </w:tc>
      </w:tr>
      <w:tr>
        <w:trPr/>
        <w:tc>
          <w:tcPr>
            <w:tcW w:w="5015" w:type="dxa"/>
            <w:tcBorders/>
            <w:shd w:fill="FFFFFF" w:val="clear"/>
            <w:vAlign w:val="center"/>
          </w:tcPr>
          <w:p>
            <w:pPr>
              <w:pStyle w:val="TableContents"/>
              <w:bidi w:val="0"/>
              <w:spacing w:before="0" w:after="283"/>
              <w:jc w:val="left"/>
              <w:rPr/>
            </w:pPr>
            <w:r>
              <w:rPr/>
              <w:t>Reconciling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81" w:name="xdx_403_eus-gaap--ProfitLoss_pn3n3_zob3O"/>
            <w:bookmarkEnd w:id="981"/>
          </w:p>
        </w:tc>
      </w:tr>
      <w:tr>
        <w:trPr/>
        <w:tc>
          <w:tcPr>
            <w:tcW w:w="5015" w:type="dxa"/>
            <w:tcBorders/>
            <w:shd w:fill="CCEEFF" w:val="clear"/>
            <w:vAlign w:val="center"/>
          </w:tcPr>
          <w:p>
            <w:pPr>
              <w:pStyle w:val="TableContents"/>
              <w:bidi w:val="0"/>
              <w:spacing w:before="0" w:after="283"/>
              <w:jc w:val="left"/>
              <w:rPr/>
            </w:pPr>
            <w:r>
              <w:rPr/>
              <w:t>Consolidated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(4,386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260"/>
        <w:gridCol w:w="668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982" w:name="xdx_F04_zxYIkQslENL3"/>
            <w:bookmarkEnd w:id="982"/>
            <w:r>
              <w:rPr>
                <w:rFonts w:ascii="Times New Roman;Times;Serif" w:hAnsi="Times New Roman;Times;Serif"/>
                <w:sz w:val="20"/>
              </w:rPr>
              <w:t>(1)</w:t>
            </w:r>
          </w:p>
        </w:tc>
        <w:tc>
          <w:tcPr>
            <w:tcW w:w="6680" w:type="dxa"/>
            <w:tcBorders/>
            <w:vAlign w:val="center"/>
          </w:tcPr>
          <w:p>
            <w:pPr>
              <w:pStyle w:val="TableContents"/>
              <w:bidi w:val="0"/>
              <w:spacing w:before="0" w:after="283"/>
              <w:jc w:val="both"/>
              <w:rPr>
                <w:rFonts w:ascii="Times New Roman;Times;Serif" w:hAnsi="Times New Roman;Times;Serif"/>
                <w:sz w:val="20"/>
              </w:rPr>
            </w:pPr>
            <w:bookmarkStart w:id="983" w:name="xdx_F11_z9yFvc7QS4xi"/>
            <w:bookmarkEnd w:id="983"/>
            <w:r>
              <w:rPr>
                <w:rFonts w:ascii="Times New Roman;Times;Serif" w:hAnsi="Times New Roman;Times;Serif"/>
                <w:sz w:val="20"/>
              </w:rPr>
              <w:t>Licensing Revenue which is not considered a segment as it is currently immaterial</w:t>
            </w:r>
          </w:p>
        </w:tc>
      </w:tr>
    </w:tbl>
    <w:tbl>
      <w:tblPr>
        <w:tblW w:w="7360" w:type="dxa"/>
        <w:jc w:val="left"/>
        <w:tblInd w:w="0" w:type="dxa"/>
        <w:tblLayout w:type="fixed"/>
        <w:tblCellMar>
          <w:top w:w="0" w:type="dxa"/>
          <w:left w:w="0" w:type="dxa"/>
          <w:bottom w:w="0" w:type="dxa"/>
          <w:right w:w="0" w:type="dxa"/>
        </w:tblCellMar>
      </w:tblPr>
      <w:tblGrid>
        <w:gridCol w:w="260"/>
        <w:gridCol w:w="710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984" w:name="xdx_F0C_z0h33AWErR12"/>
            <w:bookmarkEnd w:id="984"/>
            <w:r>
              <w:rPr>
                <w:rFonts w:ascii="Times New Roman;Times;Serif" w:hAnsi="Times New Roman;Times;Serif"/>
                <w:sz w:val="20"/>
              </w:rPr>
              <w:t>(2)</w:t>
            </w:r>
          </w:p>
        </w:tc>
        <w:tc>
          <w:tcPr>
            <w:tcW w:w="7100" w:type="dxa"/>
            <w:tcBorders/>
            <w:vAlign w:val="center"/>
          </w:tcPr>
          <w:p>
            <w:pPr>
              <w:pStyle w:val="TableContents"/>
              <w:bidi w:val="0"/>
              <w:spacing w:before="0" w:after="283"/>
              <w:jc w:val="both"/>
              <w:rPr>
                <w:rFonts w:ascii="Times New Roman;Times;Serif" w:hAnsi="Times New Roman;Times;Serif"/>
                <w:sz w:val="20"/>
              </w:rPr>
            </w:pPr>
            <w:bookmarkStart w:id="985" w:name="xdx_F1A_zi5QYm2EoP9h"/>
            <w:bookmarkEnd w:id="985"/>
            <w:r>
              <w:rPr>
                <w:rFonts w:ascii="Times New Roman;Times;Serif" w:hAnsi="Times New Roman;Times;Serif"/>
                <w:sz w:val="20"/>
              </w:rPr>
              <w:t>Research and Development expenses including employee costs related to new products</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right"/>
              <w:rPr>
                <w:rFonts w:ascii="Times New Roman;Times;Serif" w:hAnsi="Times New Roman;Times;Serif"/>
                <w:sz w:val="20"/>
              </w:rPr>
            </w:pPr>
            <w:bookmarkStart w:id="986" w:name="xdx_F07_zIZEmklGmdLg"/>
            <w:bookmarkEnd w:id="986"/>
            <w:r>
              <w:rPr>
                <w:rFonts w:ascii="Times New Roman;Times;Serif" w:hAnsi="Times New Roman;Times;Serif"/>
                <w:sz w:val="20"/>
              </w:rPr>
              <w:t>(3)</w:t>
            </w:r>
          </w:p>
        </w:tc>
        <w:tc>
          <w:tcPr>
            <w:tcW w:w="9959" w:type="dxa"/>
            <w:tcBorders/>
            <w:vAlign w:val="center"/>
          </w:tcPr>
          <w:p>
            <w:pPr>
              <w:pStyle w:val="TableContents"/>
              <w:bidi w:val="0"/>
              <w:spacing w:before="0" w:after="283"/>
              <w:jc w:val="both"/>
              <w:rPr>
                <w:rFonts w:ascii="Times New Roman;Times;Serif" w:hAnsi="Times New Roman;Times;Serif"/>
                <w:sz w:val="20"/>
              </w:rPr>
            </w:pPr>
            <w:bookmarkStart w:id="987" w:name="xdx_F17_z1XyFO9gxMo6"/>
            <w:bookmarkEnd w:id="987"/>
            <w:r>
              <w:rPr>
                <w:rFonts w:ascii="Times New Roman;Times;Serif" w:hAnsi="Times New Roman;Times;Serif"/>
                <w:sz w:val="20"/>
              </w:rPr>
              <w:t>Administrative and Engineering employee costs along with legal, insurance, professional fees related to administration and other general office expenses</w:t>
            </w:r>
          </w:p>
        </w:tc>
      </w:tr>
    </w:tbl>
    <w:tbl>
      <w:tblPr>
        <w:tblW w:w="6250" w:type="dxa"/>
        <w:jc w:val="left"/>
        <w:tblInd w:w="0" w:type="dxa"/>
        <w:tblLayout w:type="fixed"/>
        <w:tblCellMar>
          <w:top w:w="0" w:type="dxa"/>
          <w:left w:w="0" w:type="dxa"/>
          <w:bottom w:w="0" w:type="dxa"/>
          <w:right w:w="0" w:type="dxa"/>
        </w:tblCellMar>
      </w:tblPr>
      <w:tblGrid>
        <w:gridCol w:w="260"/>
        <w:gridCol w:w="599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988" w:name="xdx_F0B_zJMfFlt4le1f"/>
            <w:bookmarkEnd w:id="988"/>
            <w:r>
              <w:rPr>
                <w:rFonts w:ascii="Times New Roman;Times;Serif" w:hAnsi="Times New Roman;Times;Serif"/>
                <w:sz w:val="20"/>
              </w:rPr>
              <w:t>(4)</w:t>
            </w:r>
          </w:p>
        </w:tc>
        <w:tc>
          <w:tcPr>
            <w:tcW w:w="5990" w:type="dxa"/>
            <w:tcBorders/>
            <w:vAlign w:val="center"/>
          </w:tcPr>
          <w:p>
            <w:pPr>
              <w:pStyle w:val="TableContents"/>
              <w:bidi w:val="0"/>
              <w:spacing w:before="0" w:after="283"/>
              <w:jc w:val="both"/>
              <w:rPr>
                <w:rFonts w:ascii="Times New Roman;Times;Serif" w:hAnsi="Times New Roman;Times;Serif"/>
                <w:sz w:val="20"/>
              </w:rPr>
            </w:pPr>
            <w:bookmarkStart w:id="989" w:name="xdx_F17_zZbR66zZr6Gd"/>
            <w:bookmarkEnd w:id="989"/>
            <w:r>
              <w:rPr>
                <w:rFonts w:ascii="Times New Roman;Times;Serif" w:hAnsi="Times New Roman;Times;Serif"/>
                <w:sz w:val="20"/>
              </w:rPr>
              <w:t>General sales and marketing employee cost and other marketing expenses</w:t>
            </w:r>
          </w:p>
        </w:tc>
      </w:tr>
    </w:tbl>
    <w:tbl>
      <w:tblPr>
        <w:tblW w:w="6970" w:type="dxa"/>
        <w:jc w:val="left"/>
        <w:tblInd w:w="0" w:type="dxa"/>
        <w:tblLayout w:type="fixed"/>
        <w:tblCellMar>
          <w:top w:w="0" w:type="dxa"/>
          <w:left w:w="0" w:type="dxa"/>
          <w:bottom w:w="0" w:type="dxa"/>
          <w:right w:w="0" w:type="dxa"/>
        </w:tblCellMar>
      </w:tblPr>
      <w:tblGrid>
        <w:gridCol w:w="260"/>
        <w:gridCol w:w="671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990" w:name="xdx_F0C_zvXsOxo1fgme"/>
            <w:bookmarkEnd w:id="990"/>
            <w:r>
              <w:rPr>
                <w:rFonts w:ascii="Times New Roman;Times;Serif" w:hAnsi="Times New Roman;Times;Serif"/>
                <w:sz w:val="20"/>
              </w:rPr>
              <w:t>(5)</w:t>
            </w:r>
          </w:p>
        </w:tc>
        <w:tc>
          <w:tcPr>
            <w:tcW w:w="6710" w:type="dxa"/>
            <w:tcBorders/>
            <w:vAlign w:val="center"/>
          </w:tcPr>
          <w:p>
            <w:pPr>
              <w:pStyle w:val="TableContents"/>
              <w:bidi w:val="0"/>
              <w:spacing w:before="0" w:after="283"/>
              <w:jc w:val="both"/>
              <w:rPr>
                <w:rFonts w:ascii="Times New Roman;Times;Serif" w:hAnsi="Times New Roman;Times;Serif"/>
                <w:sz w:val="20"/>
              </w:rPr>
            </w:pPr>
            <w:bookmarkStart w:id="991" w:name="xdx_F11_zzsymD4CuvCb"/>
            <w:bookmarkEnd w:id="991"/>
            <w:r>
              <w:rPr>
                <w:rFonts w:ascii="Times New Roman;Times;Serif" w:hAnsi="Times New Roman;Times;Serif"/>
                <w:sz w:val="20"/>
              </w:rPr>
              <w:t>Interest expense related to debt and change in fair market value of warrant liability</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992" w:name="xdx_C0F_gL3SOSRIBSTB-JQBTY_zRqSepEbtlGj"/>
      <w:bookmarkEnd w:id="99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customer revenues from the Company’s DTC segment for the three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one customer of the Company’s OEM segment represents approximately $</w:t>
      </w:r>
      <w:bookmarkStart w:id="993" w:name="xdx_90C_eus-gaap--RevenueFromContractWit"/>
      <w:bookmarkEnd w:id="993"/>
      <w:r>
        <w:rPr>
          <w:rFonts w:ascii="Times New Roman;Times;Serif" w:hAnsi="Times New Roman;Times;Serif"/>
          <w:b w:val="false"/>
          <w:i w:val="false"/>
          <w:caps w:val="false"/>
          <w:smallCaps w:val="false"/>
          <w:sz w:val="20"/>
        </w:rPr>
        <w:t xml:space="preserve">3,578, or </w:t>
      </w:r>
      <w:bookmarkStart w:id="994" w:name="xdx_904_eus-gaap--ConcentrationRiskPerce"/>
      <w:bookmarkEnd w:id="994"/>
      <w:r>
        <w:rPr>
          <w:rFonts w:ascii="Times New Roman;Times;Serif" w:hAnsi="Times New Roman;Times;Serif"/>
          <w:b w:val="false"/>
          <w:i w:val="false"/>
          <w:caps w:val="false"/>
          <w:smallCaps w:val="false"/>
          <w:sz w:val="20"/>
        </w:rPr>
        <w:t>28%, of the Company’s consolidated revenues for the three months ended June 30, 2026.</w:t>
      </w:r>
    </w:p>
    <w:p>
      <w:pPr>
        <w:pStyle w:val="TextBody"/>
        <w:bidi w:val="0"/>
        <w:spacing w:before="0" w:after="0"/>
        <w:ind w:left="0" w:right="0" w:hanging="0"/>
        <w:jc w:val="center"/>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12 - Reportable Segments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95" w:name="xdx_C0F_gL3SOSRIBSTB-JQBTY_zs70h766RSS6"/>
      <w:bookmarkEnd w:id="995"/>
      <w:r>
        <w:rPr>
          <w:rFonts w:ascii="Times New Roman;Times;Serif" w:hAnsi="Times New Roman;Times;Serif"/>
          <w:b w:val="false"/>
          <w:i w:val="false"/>
          <w:caps w:val="false"/>
          <w:smallCaps w:val="false"/>
          <w:sz w:val="20"/>
        </w:rPr>
        <w:t>The following table presents the reportable segments information for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5015"/>
        <w:gridCol w:w="60"/>
        <w:gridCol w:w="140"/>
        <w:gridCol w:w="560"/>
        <w:gridCol w:w="60"/>
        <w:gridCol w:w="60"/>
        <w:gridCol w:w="140"/>
        <w:gridCol w:w="680"/>
        <w:gridCol w:w="60"/>
        <w:gridCol w:w="60"/>
        <w:gridCol w:w="140"/>
        <w:gridCol w:w="860"/>
        <w:gridCol w:w="320"/>
        <w:gridCol w:w="60"/>
        <w:gridCol w:w="140"/>
        <w:gridCol w:w="680"/>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96" w:name="xdx_49C_20250401__20250630__us-gaap--Sta"/>
            <w:bookmarkEnd w:id="996"/>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DTC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97" w:name="xdx_490_20250401__20250630__us-gaap--Sta"/>
            <w:bookmarkEnd w:id="997"/>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OEM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98" w:name="xdx_491_20250401__20250630__us-gaap--Sta"/>
            <w:bookmarkEnd w:id="998"/>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99" w:name="xdx_490_20250401__20250630_zExP5wmNtBr3"/>
            <w:bookmarkEnd w:id="999"/>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000" w:name="xdx_404_eus-gaap--RevenueFromContractWit"/>
            <w:bookmarkEnd w:id="1000"/>
          </w:p>
        </w:tc>
      </w:tr>
      <w:tr>
        <w:trPr/>
        <w:tc>
          <w:tcPr>
            <w:tcW w:w="5015"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250</w:t>
            </w:r>
            <w:bookmarkStart w:id="1001" w:name="xdx_F26_z8oGeVefRADe"/>
            <w:bookmarkEnd w:id="1001"/>
            <w:r>
              <w:rPr>
                <w:rFonts w:ascii="Times New Roman;Times;Serif" w:hAnsi="Times New Roman;Times;Serif"/>
                <w:sz w:val="20"/>
              </w:rPr>
              <w:t>(1)</w:t>
            </w:r>
          </w:p>
        </w:tc>
        <w:tc>
          <w:tcPr>
            <w:tcW w:w="320"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16,248</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i/>
              </w:rPr>
            </w:pPr>
            <w:r>
              <w:rPr>
                <w:i/>
              </w:rPr>
              <w:t>Reconciliation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02" w:name="xdx_400_ecustom--ReconciliationOfNetSale"/>
            <w:bookmarkEnd w:id="1002"/>
          </w:p>
        </w:tc>
      </w:tr>
      <w:tr>
        <w:trPr/>
        <w:tc>
          <w:tcPr>
            <w:tcW w:w="5015" w:type="dxa"/>
            <w:tcBorders/>
            <w:shd w:fill="FFFFFF" w:val="clear"/>
            <w:vAlign w:val="center"/>
          </w:tcPr>
          <w:p>
            <w:pPr>
              <w:pStyle w:val="TableContents"/>
              <w:bidi w:val="0"/>
              <w:spacing w:before="0" w:after="283"/>
              <w:jc w:val="left"/>
              <w:rPr/>
            </w:pPr>
            <w:r>
              <w:rPr/>
              <w:t>Reconciling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03" w:name="xdx_40C_eus-gaap--Revenues_pn3n3_z3u3kui"/>
            <w:bookmarkEnd w:id="1003"/>
          </w:p>
        </w:tc>
      </w:tr>
      <w:tr>
        <w:trPr/>
        <w:tc>
          <w:tcPr>
            <w:tcW w:w="5015" w:type="dxa"/>
            <w:tcBorders/>
            <w:shd w:fill="CCEEFF" w:val="clear"/>
            <w:vAlign w:val="center"/>
          </w:tcPr>
          <w:p>
            <w:pPr>
              <w:pStyle w:val="TableContents"/>
              <w:bidi w:val="0"/>
              <w:spacing w:before="0" w:after="283"/>
              <w:jc w:val="left"/>
              <w:rPr/>
            </w:pPr>
            <w:r>
              <w:rPr/>
              <w:t>Consolidated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16,248</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04" w:name="xdx_403_eus-gaap--CostDirectMaterial_pn3"/>
            <w:bookmarkEnd w:id="1004"/>
          </w:p>
        </w:tc>
      </w:tr>
      <w:tr>
        <w:trPr/>
        <w:tc>
          <w:tcPr>
            <w:tcW w:w="5015" w:type="dxa"/>
            <w:tcBorders/>
            <w:shd w:fill="CCEEFF" w:val="clear"/>
            <w:vAlign w:val="center"/>
          </w:tcPr>
          <w:p>
            <w:pPr>
              <w:pStyle w:val="TableContents"/>
              <w:bidi w:val="0"/>
              <w:spacing w:before="0" w:after="283"/>
              <w:jc w:val="left"/>
              <w:rPr/>
            </w:pPr>
            <w:r>
              <w:rPr/>
              <w:t>Direct material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9,692</w:t>
            </w:r>
          </w:p>
        </w:tc>
        <w:tc>
          <w:tcPr>
            <w:tcW w:w="110" w:type="dxa"/>
            <w:tcBorders/>
            <w:shd w:fill="CCEEFF" w:val="clear"/>
            <w:vAlign w:val="center"/>
          </w:tcPr>
          <w:p>
            <w:pPr>
              <w:pStyle w:val="TableContents"/>
              <w:bidi w:val="0"/>
              <w:spacing w:before="0" w:after="283"/>
              <w:jc w:val="left"/>
              <w:rPr/>
            </w:pPr>
            <w:r>
              <w:rPr/>
              <w:t> </w:t>
            </w:r>
            <w:bookmarkStart w:id="1005" w:name="xdx_408_eus-gaap--CostDirectLabor_pn3n3_"/>
            <w:bookmarkEnd w:id="1005"/>
          </w:p>
        </w:tc>
      </w:tr>
      <w:tr>
        <w:trPr/>
        <w:tc>
          <w:tcPr>
            <w:tcW w:w="5015" w:type="dxa"/>
            <w:tcBorders/>
            <w:shd w:fill="FFFFFF" w:val="clear"/>
            <w:vAlign w:val="center"/>
          </w:tcPr>
          <w:p>
            <w:pPr>
              <w:pStyle w:val="TableContents"/>
              <w:bidi w:val="0"/>
              <w:spacing w:before="0" w:after="283"/>
              <w:jc w:val="left"/>
              <w:rPr/>
            </w:pPr>
            <w:r>
              <w:rPr/>
              <w:t>Direct labor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874</w:t>
            </w:r>
          </w:p>
        </w:tc>
        <w:tc>
          <w:tcPr>
            <w:tcW w:w="110" w:type="dxa"/>
            <w:tcBorders/>
            <w:shd w:fill="FFFFFF" w:val="clear"/>
            <w:vAlign w:val="center"/>
          </w:tcPr>
          <w:p>
            <w:pPr>
              <w:pStyle w:val="TableContents"/>
              <w:bidi w:val="0"/>
              <w:spacing w:before="0" w:after="283"/>
              <w:jc w:val="left"/>
              <w:rPr/>
            </w:pPr>
            <w:r>
              <w:rPr/>
              <w:t> </w:t>
            </w:r>
            <w:bookmarkStart w:id="1006" w:name="xdx_402_eus-gaap--CostOfGoodsAndServices"/>
            <w:bookmarkEnd w:id="1006"/>
          </w:p>
        </w:tc>
      </w:tr>
      <w:tr>
        <w:trPr/>
        <w:tc>
          <w:tcPr>
            <w:tcW w:w="5015" w:type="dxa"/>
            <w:tcBorders/>
            <w:shd w:fill="CCEEFF" w:val="clear"/>
            <w:vAlign w:val="center"/>
          </w:tcPr>
          <w:p>
            <w:pPr>
              <w:pStyle w:val="TableContents"/>
              <w:bidi w:val="0"/>
              <w:spacing w:before="0" w:after="283"/>
              <w:jc w:val="left"/>
              <w:rPr/>
            </w:pPr>
            <w:r>
              <w:rPr/>
              <w:t>Direct overhead and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1,077</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07" w:name="xdx_401_eus-gaap--CostOfGoodsAndServices"/>
            <w:bookmarkEnd w:id="1007"/>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11,643</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08" w:name="xdx_405_eus-gaap--GrossProfit_pn3n3_zCk3"/>
            <w:bookmarkEnd w:id="1008"/>
          </w:p>
        </w:tc>
      </w:tr>
      <w:tr>
        <w:trPr/>
        <w:tc>
          <w:tcPr>
            <w:tcW w:w="501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250</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4,605</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09" w:name="xdx_403_eus-gaap--ResearchAndDevelopment"/>
            <w:bookmarkEnd w:id="1009"/>
          </w:p>
        </w:tc>
      </w:tr>
      <w:tr>
        <w:trPr/>
        <w:tc>
          <w:tcPr>
            <w:tcW w:w="5015" w:type="dxa"/>
            <w:tcBorders/>
            <w:shd w:fill="FFFFFF" w:val="clear"/>
            <w:vAlign w:val="center"/>
          </w:tcPr>
          <w:p>
            <w:pPr>
              <w:pStyle w:val="TableContents"/>
              <w:bidi w:val="0"/>
              <w:spacing w:before="0" w:after="283"/>
              <w:jc w:val="left"/>
              <w:rPr/>
            </w:pPr>
            <w:r>
              <w:rPr/>
              <w:t>Research &amp;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692</w:t>
            </w:r>
            <w:bookmarkStart w:id="1010" w:name="xdx_F24_zAoQw67fY2t1"/>
            <w:bookmarkEnd w:id="1010"/>
            <w:r>
              <w:rPr>
                <w:rFonts w:ascii="Times New Roman;Times;Serif" w:hAnsi="Times New Roman;Times;Serif"/>
                <w:sz w:val="20"/>
              </w:rPr>
              <w:t>(2)</w:t>
            </w:r>
          </w:p>
        </w:tc>
        <w:tc>
          <w:tcPr>
            <w:tcW w:w="320" w:type="dxa"/>
            <w:tcBorders/>
            <w:shd w:fill="FFFFFF" w:val="clear"/>
            <w:vAlign w:val="center"/>
          </w:tcPr>
          <w:p>
            <w:pPr>
              <w:pStyle w:val="TableContents"/>
              <w:bidi w:val="0"/>
              <w:spacing w:before="0" w:after="283"/>
              <w:jc w:val="left"/>
              <w:rPr>
                <w:position w:val="8"/>
                <w:sz w:val="19"/>
              </w:rPr>
            </w:pP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692</w:t>
            </w:r>
          </w:p>
        </w:tc>
        <w:tc>
          <w:tcPr>
            <w:tcW w:w="110" w:type="dxa"/>
            <w:tcBorders/>
            <w:shd w:fill="FFFFFF" w:val="clear"/>
            <w:vAlign w:val="center"/>
          </w:tcPr>
          <w:p>
            <w:pPr>
              <w:pStyle w:val="TableContents"/>
              <w:bidi w:val="0"/>
              <w:spacing w:before="0" w:after="283"/>
              <w:jc w:val="left"/>
              <w:rPr/>
            </w:pPr>
            <w:r>
              <w:rPr/>
              <w:t> </w:t>
            </w:r>
            <w:bookmarkStart w:id="1011" w:name="xdx_40B_ecustom--SalesTaxAdjustment_pn3n"/>
            <w:bookmarkEnd w:id="1011"/>
          </w:p>
        </w:tc>
      </w:tr>
      <w:tr>
        <w:trPr/>
        <w:tc>
          <w:tcPr>
            <w:tcW w:w="5015" w:type="dxa"/>
            <w:tcBorders/>
            <w:shd w:fill="CCEEFF" w:val="clear"/>
            <w:vAlign w:val="center"/>
          </w:tcPr>
          <w:p>
            <w:pPr>
              <w:pStyle w:val="TableContents"/>
              <w:bidi w:val="0"/>
              <w:spacing w:before="0" w:after="283"/>
              <w:jc w:val="left"/>
              <w:rPr/>
            </w:pPr>
            <w:r>
              <w:rPr/>
              <w:t>Sales tax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012" w:name="xdx_40B_ecustom--TransactionFees_pn3n3_z"/>
            <w:bookmarkEnd w:id="1012"/>
          </w:p>
        </w:tc>
      </w:tr>
      <w:tr>
        <w:trPr/>
        <w:tc>
          <w:tcPr>
            <w:tcW w:w="5015" w:type="dxa"/>
            <w:tcBorders/>
            <w:shd w:fill="FFFFFF" w:val="clear"/>
            <w:vAlign w:val="center"/>
          </w:tcPr>
          <w:p>
            <w:pPr>
              <w:pStyle w:val="TableContents"/>
              <w:bidi w:val="0"/>
              <w:spacing w:before="0" w:after="283"/>
              <w:jc w:val="left"/>
              <w:rPr/>
            </w:pPr>
            <w:r>
              <w:rPr/>
              <w:t>Credit card &amp; amazon transaction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144</w:t>
            </w:r>
          </w:p>
        </w:tc>
        <w:tc>
          <w:tcPr>
            <w:tcW w:w="110" w:type="dxa"/>
            <w:tcBorders/>
            <w:shd w:fill="FFFFFF" w:val="clear"/>
            <w:vAlign w:val="center"/>
          </w:tcPr>
          <w:p>
            <w:pPr>
              <w:pStyle w:val="TableContents"/>
              <w:bidi w:val="0"/>
              <w:spacing w:before="0" w:after="283"/>
              <w:jc w:val="left"/>
              <w:rPr/>
            </w:pPr>
            <w:r>
              <w:rPr/>
              <w:t> </w:t>
            </w:r>
            <w:bookmarkStart w:id="1013" w:name="xdx_401_eus-gaap--OtherGeneralAndAdminis"/>
            <w:bookmarkEnd w:id="1013"/>
          </w:p>
        </w:tc>
      </w:tr>
      <w:tr>
        <w:trPr/>
        <w:tc>
          <w:tcPr>
            <w:tcW w:w="5015" w:type="dxa"/>
            <w:tcBorders/>
            <w:shd w:fill="CCEEFF" w:val="clear"/>
            <w:vAlign w:val="center"/>
          </w:tcPr>
          <w:p>
            <w:pPr>
              <w:pStyle w:val="TableContents"/>
              <w:bidi w:val="0"/>
              <w:spacing w:before="0" w:after="283"/>
              <w:jc w:val="left"/>
              <w:rPr/>
            </w:pPr>
            <w:r>
              <w:rPr/>
              <w:t>Other general &amp;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4,475</w:t>
            </w:r>
            <w:bookmarkStart w:id="1014" w:name="xdx_F2C_z73hVmwYzEVb"/>
            <w:bookmarkEnd w:id="1014"/>
            <w:r>
              <w:rPr>
                <w:rFonts w:ascii="Times New Roman;Times;Serif" w:hAnsi="Times New Roman;Times;Serif"/>
                <w:sz w:val="20"/>
              </w:rPr>
              <w:t>(3)</w:t>
            </w:r>
          </w:p>
        </w:tc>
        <w:tc>
          <w:tcPr>
            <w:tcW w:w="320" w:type="dxa"/>
            <w:tcBorders/>
            <w:shd w:fill="CCEEFF" w:val="cle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4,475</w:t>
            </w:r>
          </w:p>
        </w:tc>
        <w:tc>
          <w:tcPr>
            <w:tcW w:w="110" w:type="dxa"/>
            <w:tcBorders/>
            <w:shd w:fill="CCEEFF" w:val="clear"/>
            <w:vAlign w:val="center"/>
          </w:tcPr>
          <w:p>
            <w:pPr>
              <w:pStyle w:val="TableContents"/>
              <w:bidi w:val="0"/>
              <w:spacing w:before="0" w:after="283"/>
              <w:jc w:val="left"/>
              <w:rPr/>
            </w:pPr>
            <w:r>
              <w:rPr/>
              <w:t> </w:t>
            </w:r>
            <w:bookmarkStart w:id="1015" w:name="xdx_408_ecustom--Shipping_pn3n3_zFs6owjL"/>
            <w:bookmarkEnd w:id="1015"/>
          </w:p>
        </w:tc>
      </w:tr>
      <w:tr>
        <w:trPr/>
        <w:tc>
          <w:tcPr>
            <w:tcW w:w="5015" w:type="dxa"/>
            <w:tcBorders/>
            <w:shd w:fill="FFFFFF" w:val="clear"/>
            <w:vAlign w:val="center"/>
          </w:tcPr>
          <w:p>
            <w:pPr>
              <w:pStyle w:val="TableContents"/>
              <w:bidi w:val="0"/>
              <w:spacing w:before="0" w:after="283"/>
              <w:jc w:val="left"/>
              <w:rPr/>
            </w:pPr>
            <w:r>
              <w:rPr/>
              <w:t>Shipping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764</w:t>
            </w:r>
          </w:p>
        </w:tc>
        <w:tc>
          <w:tcPr>
            <w:tcW w:w="110" w:type="dxa"/>
            <w:tcBorders/>
            <w:shd w:fill="FFFFFF" w:val="clear"/>
            <w:vAlign w:val="center"/>
          </w:tcPr>
          <w:p>
            <w:pPr>
              <w:pStyle w:val="TableContents"/>
              <w:bidi w:val="0"/>
              <w:spacing w:before="0" w:after="283"/>
              <w:jc w:val="left"/>
              <w:rPr/>
            </w:pPr>
            <w:r>
              <w:rPr/>
              <w:t> </w:t>
            </w:r>
            <w:bookmarkStart w:id="1016" w:name="xdx_40E_ecustom--SalesAndMarketingStockC"/>
            <w:bookmarkEnd w:id="1016"/>
          </w:p>
        </w:tc>
      </w:tr>
      <w:tr>
        <w:trPr/>
        <w:tc>
          <w:tcPr>
            <w:tcW w:w="5015" w:type="dxa"/>
            <w:tcBorders/>
            <w:shd w:fill="CCEEFF" w:val="clear"/>
            <w:vAlign w:val="center"/>
          </w:tcPr>
          <w:p>
            <w:pPr>
              <w:pStyle w:val="TableContents"/>
              <w:bidi w:val="0"/>
              <w:spacing w:before="0" w:after="283"/>
              <w:jc w:val="left"/>
              <w:rPr/>
            </w:pPr>
            <w:r>
              <w:rPr/>
              <w:t>Sales and marketing 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w:t>
            </w:r>
          </w:p>
        </w:tc>
        <w:tc>
          <w:tcPr>
            <w:tcW w:w="110" w:type="dxa"/>
            <w:tcBorders/>
            <w:shd w:fill="CCEEFF" w:val="clear"/>
            <w:vAlign w:val="center"/>
          </w:tcPr>
          <w:p>
            <w:pPr>
              <w:pStyle w:val="TableContents"/>
              <w:bidi w:val="0"/>
              <w:spacing w:before="0" w:after="283"/>
              <w:jc w:val="left"/>
              <w:rPr/>
            </w:pPr>
            <w:r>
              <w:rPr/>
              <w:t> </w:t>
            </w:r>
            <w:bookmarkStart w:id="1017" w:name="xdx_40E_ecustom--SalesAndMarketingWages_"/>
            <w:bookmarkEnd w:id="1017"/>
          </w:p>
        </w:tc>
      </w:tr>
      <w:tr>
        <w:trPr/>
        <w:tc>
          <w:tcPr>
            <w:tcW w:w="5015" w:type="dxa"/>
            <w:tcBorders/>
            <w:shd w:fill="FFFFFF" w:val="clear"/>
            <w:vAlign w:val="center"/>
          </w:tcPr>
          <w:p>
            <w:pPr>
              <w:pStyle w:val="TableContents"/>
              <w:bidi w:val="0"/>
              <w:spacing w:before="0" w:after="283"/>
              <w:jc w:val="left"/>
              <w:rPr/>
            </w:pPr>
            <w:r>
              <w:rPr/>
              <w:t>Sales and marketing wages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532</w:t>
            </w:r>
          </w:p>
        </w:tc>
        <w:tc>
          <w:tcPr>
            <w:tcW w:w="110" w:type="dxa"/>
            <w:tcBorders/>
            <w:shd w:fill="FFFFFF" w:val="clear"/>
            <w:vAlign w:val="center"/>
          </w:tcPr>
          <w:p>
            <w:pPr>
              <w:pStyle w:val="TableContents"/>
              <w:bidi w:val="0"/>
              <w:spacing w:before="0" w:after="283"/>
              <w:jc w:val="left"/>
              <w:rPr/>
            </w:pPr>
            <w:r>
              <w:rPr/>
              <w:t> </w:t>
            </w:r>
            <w:bookmarkStart w:id="1018" w:name="xdx_405_ecustom--MarketingSpend_pn3n3_zF"/>
            <w:bookmarkEnd w:id="1018"/>
          </w:p>
        </w:tc>
      </w:tr>
      <w:tr>
        <w:trPr/>
        <w:tc>
          <w:tcPr>
            <w:tcW w:w="5015" w:type="dxa"/>
            <w:tcBorders/>
            <w:shd w:fill="CCEEFF" w:val="clear"/>
            <w:vAlign w:val="center"/>
          </w:tcPr>
          <w:p>
            <w:pPr>
              <w:pStyle w:val="TableContents"/>
              <w:bidi w:val="0"/>
              <w:spacing w:before="0" w:after="283"/>
              <w:jc w:val="left"/>
              <w:rPr/>
            </w:pPr>
            <w:r>
              <w:rPr/>
              <w:t>Marketing spend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697</w:t>
            </w:r>
          </w:p>
        </w:tc>
        <w:tc>
          <w:tcPr>
            <w:tcW w:w="110" w:type="dxa"/>
            <w:tcBorders/>
            <w:shd w:fill="CCEEFF" w:val="clear"/>
            <w:vAlign w:val="center"/>
          </w:tcPr>
          <w:p>
            <w:pPr>
              <w:pStyle w:val="TableContents"/>
              <w:bidi w:val="0"/>
              <w:spacing w:before="0" w:after="283"/>
              <w:jc w:val="left"/>
              <w:rPr/>
            </w:pPr>
            <w:r>
              <w:rPr/>
              <w:t> </w:t>
            </w:r>
            <w:bookmarkStart w:id="1019" w:name="xdx_404_ecustom--Rent_pn3n3_zKFDoLPVtdT9"/>
            <w:bookmarkEnd w:id="1019"/>
          </w:p>
        </w:tc>
      </w:tr>
      <w:tr>
        <w:trPr/>
        <w:tc>
          <w:tcPr>
            <w:tcW w:w="5015" w:type="dxa"/>
            <w:tcBorders/>
            <w:shd w:fill="FFFFFF" w:val="clear"/>
            <w:vAlign w:val="center"/>
          </w:tcPr>
          <w:p>
            <w:pPr>
              <w:pStyle w:val="TableContents"/>
              <w:bidi w:val="0"/>
              <w:spacing w:before="0" w:after="283"/>
              <w:jc w:val="left"/>
              <w:rPr/>
            </w:pPr>
            <w:r>
              <w:rPr/>
              <w:t>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w:t>
            </w:r>
          </w:p>
        </w:tc>
        <w:tc>
          <w:tcPr>
            <w:tcW w:w="110" w:type="dxa"/>
            <w:tcBorders/>
            <w:shd w:fill="FFFFFF" w:val="clear"/>
            <w:vAlign w:val="center"/>
          </w:tcPr>
          <w:p>
            <w:pPr>
              <w:pStyle w:val="TableContents"/>
              <w:bidi w:val="0"/>
              <w:spacing w:before="0" w:after="283"/>
              <w:jc w:val="left"/>
              <w:rPr/>
            </w:pPr>
            <w:r>
              <w:rPr/>
              <w:t> </w:t>
            </w:r>
            <w:bookmarkStart w:id="1020" w:name="xdx_401_ecustom--UnallocatedSalesAndMark"/>
            <w:bookmarkEnd w:id="1020"/>
          </w:p>
        </w:tc>
      </w:tr>
      <w:tr>
        <w:trPr/>
        <w:tc>
          <w:tcPr>
            <w:tcW w:w="5015" w:type="dxa"/>
            <w:tcBorders/>
            <w:shd w:fill="CCEEFF" w:val="clear"/>
            <w:vAlign w:val="center"/>
          </w:tcPr>
          <w:p>
            <w:pPr>
              <w:pStyle w:val="TableContents"/>
              <w:bidi w:val="0"/>
              <w:spacing w:before="0" w:after="283"/>
              <w:jc w:val="left"/>
              <w:rPr/>
            </w:pPr>
            <w:r>
              <w:rPr/>
              <w:t>Unallocated sales and marketing 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332</w:t>
            </w:r>
            <w:bookmarkStart w:id="1021" w:name="xdx_F20_zeLT6YvXaHN"/>
            <w:bookmarkEnd w:id="1021"/>
            <w:r>
              <w:rPr>
                <w:rFonts w:ascii="Times New Roman;Times;Serif" w:hAnsi="Times New Roman;Times;Serif"/>
                <w:sz w:val="20"/>
              </w:rPr>
              <w:t>(4)</w:t>
            </w:r>
          </w:p>
        </w:tc>
        <w:tc>
          <w:tcPr>
            <w:tcW w:w="320" w:type="dxa"/>
            <w:tcBorders/>
            <w:shd w:fill="CCEEFF" w:val="cle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332</w:t>
            </w:r>
          </w:p>
        </w:tc>
        <w:tc>
          <w:tcPr>
            <w:tcW w:w="110" w:type="dxa"/>
            <w:tcBorders/>
            <w:shd w:fill="CCEEFF" w:val="clear"/>
            <w:vAlign w:val="center"/>
          </w:tcPr>
          <w:p>
            <w:pPr>
              <w:pStyle w:val="TableContents"/>
              <w:bidi w:val="0"/>
              <w:spacing w:before="0" w:after="283"/>
              <w:jc w:val="left"/>
              <w:rPr/>
            </w:pPr>
            <w:r>
              <w:rPr/>
              <w:t> </w:t>
            </w:r>
            <w:bookmarkStart w:id="1022" w:name="xdx_404_ecustom--UnallocatedSalesAndMark"/>
            <w:bookmarkEnd w:id="1022"/>
          </w:p>
        </w:tc>
      </w:tr>
      <w:tr>
        <w:trPr/>
        <w:tc>
          <w:tcPr>
            <w:tcW w:w="5015" w:type="dxa"/>
            <w:tcBorders/>
            <w:shd w:fill="FFFFFF" w:val="clear"/>
            <w:vAlign w:val="center"/>
          </w:tcPr>
          <w:p>
            <w:pPr>
              <w:pStyle w:val="TableContents"/>
              <w:bidi w:val="0"/>
              <w:spacing w:before="0" w:after="283"/>
              <w:jc w:val="left"/>
              <w:rPr/>
            </w:pPr>
            <w:r>
              <w:rPr/>
              <w:t>Unallocated sales and marketing wages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17</w:t>
            </w:r>
            <w:bookmarkStart w:id="1023" w:name="xdx_F2F_zSSHz1bb7k42"/>
            <w:bookmarkEnd w:id="1023"/>
            <w:r>
              <w:rPr>
                <w:rFonts w:ascii="Times New Roman;Times;Serif" w:hAnsi="Times New Roman;Times;Serif"/>
                <w:sz w:val="20"/>
              </w:rPr>
              <w:t>(4)</w:t>
            </w:r>
          </w:p>
        </w:tc>
        <w:tc>
          <w:tcPr>
            <w:tcW w:w="320" w:type="dxa"/>
            <w:tcBorders/>
            <w:shd w:fill="FFFFFF" w:val="clear"/>
            <w:vAlign w:val="center"/>
          </w:tcPr>
          <w:p>
            <w:pPr>
              <w:pStyle w:val="TableContents"/>
              <w:bidi w:val="0"/>
              <w:spacing w:before="0" w:after="283"/>
              <w:jc w:val="left"/>
              <w:rPr>
                <w:position w:val="8"/>
                <w:sz w:val="19"/>
              </w:rPr>
            </w:pP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17</w:t>
            </w:r>
          </w:p>
        </w:tc>
        <w:tc>
          <w:tcPr>
            <w:tcW w:w="110" w:type="dxa"/>
            <w:tcBorders/>
            <w:shd w:fill="FFFFFF" w:val="clear"/>
            <w:vAlign w:val="center"/>
          </w:tcPr>
          <w:p>
            <w:pPr>
              <w:pStyle w:val="TableContents"/>
              <w:bidi w:val="0"/>
              <w:spacing w:before="0" w:after="283"/>
              <w:jc w:val="left"/>
              <w:rPr/>
            </w:pPr>
            <w:r>
              <w:rPr/>
              <w:t> </w:t>
            </w:r>
            <w:bookmarkStart w:id="1024" w:name="xdx_40C_eus-gaap--OtherSellingAndMarketi"/>
            <w:bookmarkEnd w:id="1024"/>
          </w:p>
        </w:tc>
      </w:tr>
      <w:tr>
        <w:trPr/>
        <w:tc>
          <w:tcPr>
            <w:tcW w:w="5015" w:type="dxa"/>
            <w:tcBorders/>
            <w:shd w:fill="CCEEFF" w:val="clear"/>
            <w:vAlign w:val="center"/>
          </w:tcPr>
          <w:p>
            <w:pPr>
              <w:pStyle w:val="TableContents"/>
              <w:bidi w:val="0"/>
              <w:spacing w:before="0" w:after="283"/>
              <w:jc w:val="left"/>
              <w:rPr/>
            </w:pPr>
            <w:r>
              <w:rPr/>
              <w:t>Other sales &amp;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pPr>
            <w:r>
              <w:rPr/>
              <w:t>170</w:t>
            </w:r>
            <w:bookmarkStart w:id="1025" w:name="xdx_F2F_zaWGQUoYEYVi"/>
            <w:bookmarkEnd w:id="1025"/>
            <w:r>
              <w:rPr>
                <w:rFonts w:ascii="Times New Roman;Times;Serif" w:hAnsi="Times New Roman;Times;Serif"/>
                <w:sz w:val="20"/>
              </w:rPr>
              <w:t>(4)</w:t>
            </w:r>
          </w:p>
        </w:tc>
        <w:tc>
          <w:tcPr>
            <w:tcW w:w="320" w:type="dxa"/>
            <w:tcBorders/>
            <w:shd w:fill="CCEEFF" w:val="cle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170</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26" w:name="xdx_406_eus-gaap--OperatingExpenses_pn3n"/>
            <w:bookmarkEnd w:id="1026"/>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5,686</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7,886</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27" w:name="xdx_40B_eus-gaap--OperatingIncomeLoss_pn"/>
            <w:bookmarkEnd w:id="1027"/>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(5,436</w:t>
            </w:r>
          </w:p>
        </w:tc>
        <w:tc>
          <w:tcPr>
            <w:tcW w:w="32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(3,281</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28" w:name="xdx_40F_eus-gaap--InterestExpenseNonoper"/>
            <w:bookmarkEnd w:id="1028"/>
          </w:p>
        </w:tc>
      </w:tr>
      <w:tr>
        <w:trPr/>
        <w:tc>
          <w:tcPr>
            <w:tcW w:w="501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(5,442</w:t>
            </w:r>
            <w:bookmarkStart w:id="1029" w:name="xdx_F22_zy1uezQ9Eyu5"/>
            <w:bookmarkEnd w:id="1029"/>
            <w:r>
              <w:rPr>
                <w:rFonts w:ascii="Times New Roman;Times;Serif" w:hAnsi="Times New Roman;Times;Serif"/>
                <w:sz w:val="20"/>
              </w:rPr>
              <w:t>(5)</w:t>
            </w:r>
          </w:p>
        </w:tc>
        <w:tc>
          <w:tcPr>
            <w:tcW w:w="320" w:type="dxa"/>
            <w:tcBorders/>
            <w:shd w:fill="CCEEFF" w:val="clear"/>
            <w:vAlign w:val="center"/>
          </w:tcPr>
          <w:p>
            <w:pPr>
              <w:pStyle w:val="TableContents"/>
              <w:bidi w:val="0"/>
              <w:spacing w:before="0" w:after="283"/>
              <w:jc w:val="left"/>
              <w:rPr/>
            </w:pPr>
            <w:r>
              <w:rPr/>
              <w:t>)</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(5,442</w:t>
            </w:r>
          </w:p>
        </w:tc>
        <w:tc>
          <w:tcPr>
            <w:tcW w:w="110" w:type="dxa"/>
            <w:tcBorders/>
            <w:shd w:fill="CCEEFF" w:val="clear"/>
            <w:vAlign w:val="center"/>
          </w:tcPr>
          <w:p>
            <w:pPr>
              <w:pStyle w:val="TableContents"/>
              <w:bidi w:val="0"/>
              <w:spacing w:before="0" w:after="283"/>
              <w:jc w:val="left"/>
              <w:rPr/>
            </w:pPr>
            <w:r>
              <w:rPr/>
              <w:t>)</w:t>
            </w:r>
            <w:bookmarkStart w:id="1030" w:name="xdx_400_eus-gaap--FairValueAdjustmentOfW"/>
            <w:bookmarkEnd w:id="1030"/>
          </w:p>
        </w:tc>
      </w:tr>
      <w:tr>
        <w:trPr/>
        <w:tc>
          <w:tcPr>
            <w:tcW w:w="5015" w:type="dxa"/>
            <w:tcBorders/>
            <w:shd w:fill="FFFFFF" w:val="clear"/>
            <w:vAlign w:val="center"/>
          </w:tcPr>
          <w:p>
            <w:pPr>
              <w:pStyle w:val="TableContents"/>
              <w:bidi w:val="0"/>
              <w:spacing w:before="0" w:after="283"/>
              <w:jc w:val="left"/>
              <w:rPr/>
            </w:pPr>
            <w:r>
              <w:rPr/>
              <w:t>Change in FMV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1,689</w:t>
            </w:r>
            <w:bookmarkStart w:id="1031" w:name="xdx_F20_zBMGqR4MxcTi"/>
            <w:bookmarkEnd w:id="1031"/>
            <w:r>
              <w:rPr>
                <w:rFonts w:ascii="Times New Roman;Times;Serif" w:hAnsi="Times New Roman;Times;Serif"/>
                <w:sz w:val="20"/>
              </w:rPr>
              <w:t>(5)</w:t>
            </w:r>
          </w:p>
        </w:tc>
        <w:tc>
          <w:tcPr>
            <w:tcW w:w="320" w:type="dxa"/>
            <w:tcBorders/>
            <w:shd w:fill="FFFFFF" w:val="clear"/>
            <w:vAlign w:val="center"/>
          </w:tcPr>
          <w:p>
            <w:pPr>
              <w:pStyle w:val="TableContents"/>
              <w:bidi w:val="0"/>
              <w:spacing w:before="0" w:after="283"/>
              <w:jc w:val="left"/>
              <w:rPr>
                <w:position w:val="8"/>
                <w:sz w:val="19"/>
              </w:rPr>
            </w:pPr>
            <w:r>
              <w:rPr>
                <w:position w:val="8"/>
                <w:sz w:val="19"/>
              </w:rPr>
              <w:t>(5)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1,689</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32" w:name="xdx_40F_eus-gaap--NonoperatingIncomeExpe"/>
            <w:bookmarkEnd w:id="1032"/>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(3,753</w:t>
            </w:r>
          </w:p>
        </w:tc>
        <w:tc>
          <w:tcPr>
            <w:tcW w:w="32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(3,753</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33" w:name="xdx_40F_eus-gaap--IncomeLossFromContinui"/>
            <w:bookmarkEnd w:id="1033"/>
          </w:p>
        </w:tc>
      </w:tr>
      <w:tr>
        <w:trPr/>
        <w:tc>
          <w:tcPr>
            <w:tcW w:w="5015" w:type="dxa"/>
            <w:tcBorders/>
            <w:shd w:fill="FFFFFF" w:val="clear"/>
            <w:vAlign w:val="center"/>
          </w:tcPr>
          <w:p>
            <w:pPr>
              <w:pStyle w:val="TableContents"/>
              <w:bidi w:val="0"/>
              <w:spacing w:before="0" w:after="283"/>
              <w:jc w:val="left"/>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2,097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(9,189</w:t>
            </w:r>
          </w:p>
        </w:tc>
        <w:tc>
          <w:tcPr>
            <w:tcW w:w="32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(7,034</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34" w:name="xdx_409_eus-gaap--IncomeTaxExpenseBenefi"/>
            <w:bookmarkEnd w:id="1034"/>
          </w:p>
        </w:tc>
      </w:tr>
      <w:tr>
        <w:trPr/>
        <w:tc>
          <w:tcPr>
            <w:tcW w:w="5015" w:type="dxa"/>
            <w:tcBorders/>
            <w:shd w:fill="FFFFFF" w:val="clear"/>
            <w:vAlign w:val="center"/>
          </w:tcPr>
          <w:p>
            <w:pPr>
              <w:pStyle w:val="TableContents"/>
              <w:bidi w:val="0"/>
              <w:spacing w:before="0" w:after="283"/>
              <w:jc w:val="left"/>
              <w:rPr>
                <w:b/>
              </w:rPr>
            </w:pPr>
            <w:r>
              <w:rPr>
                <w:b/>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35" w:name="xdx_40D_eus-gaap--NetIncomeLoss_pn3n3_zX"/>
            <w:bookmarkEnd w:id="1035"/>
          </w:p>
        </w:tc>
      </w:tr>
      <w:tr>
        <w:trPr/>
        <w:tc>
          <w:tcPr>
            <w:tcW w:w="5015"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2,097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(9,189</w:t>
            </w:r>
          </w:p>
        </w:tc>
        <w:tc>
          <w:tcPr>
            <w:tcW w:w="32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(7,034</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i/>
              </w:rPr>
            </w:pPr>
            <w:r>
              <w:rPr>
                <w:i/>
              </w:rPr>
              <w:t>Reconciliation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36" w:name="xdx_406_ecustom--NetIncomeLossReconcilin"/>
            <w:bookmarkEnd w:id="1036"/>
          </w:p>
        </w:tc>
      </w:tr>
      <w:tr>
        <w:trPr/>
        <w:tc>
          <w:tcPr>
            <w:tcW w:w="5015" w:type="dxa"/>
            <w:tcBorders/>
            <w:shd w:fill="CCEEFF" w:val="clear"/>
            <w:vAlign w:val="center"/>
          </w:tcPr>
          <w:p>
            <w:pPr>
              <w:pStyle w:val="TableContents"/>
              <w:bidi w:val="0"/>
              <w:spacing w:before="0" w:after="283"/>
              <w:jc w:val="left"/>
              <w:rPr/>
            </w:pPr>
            <w:r>
              <w:rPr/>
              <w:t>Reconciling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037" w:name="xdx_403_eus-gaap--ProfitLoss_pn3n3_z1p5b"/>
            <w:bookmarkEnd w:id="1037"/>
          </w:p>
        </w:tc>
      </w:tr>
      <w:tr>
        <w:trPr/>
        <w:tc>
          <w:tcPr>
            <w:tcW w:w="5015" w:type="dxa"/>
            <w:tcBorders/>
            <w:shd w:fill="FFFFFF" w:val="clear"/>
            <w:vAlign w:val="center"/>
          </w:tcPr>
          <w:p>
            <w:pPr>
              <w:pStyle w:val="TableContents"/>
              <w:bidi w:val="0"/>
              <w:spacing w:before="0" w:after="283"/>
              <w:jc w:val="left"/>
              <w:rPr/>
            </w:pPr>
            <w:r>
              <w:rPr/>
              <w:t>Consolidated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(7,034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260"/>
        <w:gridCol w:w="668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038" w:name="xdx_F00_zfsRB8Hx8AOi"/>
            <w:bookmarkEnd w:id="1038"/>
            <w:r>
              <w:rPr>
                <w:rFonts w:ascii="Times New Roman;Times;Serif" w:hAnsi="Times New Roman;Times;Serif"/>
                <w:sz w:val="20"/>
              </w:rPr>
              <w:t>(1)</w:t>
            </w:r>
          </w:p>
        </w:tc>
        <w:tc>
          <w:tcPr>
            <w:tcW w:w="6680" w:type="dxa"/>
            <w:tcBorders/>
            <w:vAlign w:val="center"/>
          </w:tcPr>
          <w:p>
            <w:pPr>
              <w:pStyle w:val="TableContents"/>
              <w:bidi w:val="0"/>
              <w:spacing w:before="0" w:after="283"/>
              <w:jc w:val="both"/>
              <w:rPr>
                <w:rFonts w:ascii="Times New Roman;Times;Serif" w:hAnsi="Times New Roman;Times;Serif"/>
                <w:sz w:val="20"/>
              </w:rPr>
            </w:pPr>
            <w:bookmarkStart w:id="1039" w:name="xdx_F1E_zuFtAFT6ZfC"/>
            <w:bookmarkEnd w:id="1039"/>
            <w:r>
              <w:rPr>
                <w:rFonts w:ascii="Times New Roman;Times;Serif" w:hAnsi="Times New Roman;Times;Serif"/>
                <w:sz w:val="20"/>
              </w:rPr>
              <w:t>Licensing Revenue which is not considered a segment as it is currently immaterial</w:t>
            </w:r>
          </w:p>
        </w:tc>
      </w:tr>
    </w:tbl>
    <w:tbl>
      <w:tblPr>
        <w:tblW w:w="7360" w:type="dxa"/>
        <w:jc w:val="left"/>
        <w:tblInd w:w="0" w:type="dxa"/>
        <w:tblLayout w:type="fixed"/>
        <w:tblCellMar>
          <w:top w:w="0" w:type="dxa"/>
          <w:left w:w="0" w:type="dxa"/>
          <w:bottom w:w="0" w:type="dxa"/>
          <w:right w:w="0" w:type="dxa"/>
        </w:tblCellMar>
      </w:tblPr>
      <w:tblGrid>
        <w:gridCol w:w="260"/>
        <w:gridCol w:w="710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040" w:name="xdx_F0A_zRaIoRTwVOw4"/>
            <w:bookmarkEnd w:id="1040"/>
            <w:r>
              <w:rPr>
                <w:rFonts w:ascii="Times New Roman;Times;Serif" w:hAnsi="Times New Roman;Times;Serif"/>
                <w:sz w:val="20"/>
              </w:rPr>
              <w:t>(2)</w:t>
            </w:r>
          </w:p>
        </w:tc>
        <w:tc>
          <w:tcPr>
            <w:tcW w:w="7100" w:type="dxa"/>
            <w:tcBorders/>
            <w:vAlign w:val="center"/>
          </w:tcPr>
          <w:p>
            <w:pPr>
              <w:pStyle w:val="TableContents"/>
              <w:bidi w:val="0"/>
              <w:spacing w:before="0" w:after="283"/>
              <w:jc w:val="both"/>
              <w:rPr>
                <w:rFonts w:ascii="Times New Roman;Times;Serif" w:hAnsi="Times New Roman;Times;Serif"/>
                <w:sz w:val="20"/>
              </w:rPr>
            </w:pPr>
            <w:bookmarkStart w:id="1041" w:name="xdx_F1C_z3TXanIXFiB4"/>
            <w:bookmarkEnd w:id="1041"/>
            <w:r>
              <w:rPr>
                <w:rFonts w:ascii="Times New Roman;Times;Serif" w:hAnsi="Times New Roman;Times;Serif"/>
                <w:sz w:val="20"/>
              </w:rPr>
              <w:t>Research and Development expenses including employee costs related to new products</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right"/>
              <w:rPr>
                <w:rFonts w:ascii="Times New Roman;Times;Serif" w:hAnsi="Times New Roman;Times;Serif"/>
                <w:sz w:val="20"/>
              </w:rPr>
            </w:pPr>
            <w:bookmarkStart w:id="1042" w:name="xdx_F07_zcCjQU14CGw1"/>
            <w:bookmarkEnd w:id="1042"/>
            <w:r>
              <w:rPr>
                <w:rFonts w:ascii="Times New Roman;Times;Serif" w:hAnsi="Times New Roman;Times;Serif"/>
                <w:sz w:val="20"/>
              </w:rPr>
              <w:t>(3)</w:t>
            </w:r>
          </w:p>
        </w:tc>
        <w:tc>
          <w:tcPr>
            <w:tcW w:w="9959" w:type="dxa"/>
            <w:tcBorders/>
            <w:vAlign w:val="center"/>
          </w:tcPr>
          <w:p>
            <w:pPr>
              <w:pStyle w:val="TableContents"/>
              <w:bidi w:val="0"/>
              <w:spacing w:before="0" w:after="283"/>
              <w:jc w:val="both"/>
              <w:rPr>
                <w:rFonts w:ascii="Times New Roman;Times;Serif" w:hAnsi="Times New Roman;Times;Serif"/>
                <w:sz w:val="20"/>
              </w:rPr>
            </w:pPr>
            <w:bookmarkStart w:id="1043" w:name="xdx_F1C_zepTjhD6HpXg"/>
            <w:bookmarkEnd w:id="1043"/>
            <w:r>
              <w:rPr>
                <w:rFonts w:ascii="Times New Roman;Times;Serif" w:hAnsi="Times New Roman;Times;Serif"/>
                <w:sz w:val="20"/>
              </w:rPr>
              <w:t>Administrative and Engineering employee costs along with legal, insurance, professional fees related to administration and other general office expenses</w:t>
            </w:r>
          </w:p>
        </w:tc>
      </w:tr>
    </w:tbl>
    <w:tbl>
      <w:tblPr>
        <w:tblW w:w="6250" w:type="dxa"/>
        <w:jc w:val="left"/>
        <w:tblInd w:w="0" w:type="dxa"/>
        <w:tblLayout w:type="fixed"/>
        <w:tblCellMar>
          <w:top w:w="0" w:type="dxa"/>
          <w:left w:w="0" w:type="dxa"/>
          <w:bottom w:w="0" w:type="dxa"/>
          <w:right w:w="0" w:type="dxa"/>
        </w:tblCellMar>
      </w:tblPr>
      <w:tblGrid>
        <w:gridCol w:w="260"/>
        <w:gridCol w:w="599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044" w:name="xdx_F03_z570FJvMADg2"/>
            <w:bookmarkEnd w:id="1044"/>
            <w:r>
              <w:rPr>
                <w:rFonts w:ascii="Times New Roman;Times;Serif" w:hAnsi="Times New Roman;Times;Serif"/>
                <w:sz w:val="20"/>
              </w:rPr>
              <w:t>(4)</w:t>
            </w:r>
          </w:p>
        </w:tc>
        <w:tc>
          <w:tcPr>
            <w:tcW w:w="5990" w:type="dxa"/>
            <w:tcBorders/>
            <w:vAlign w:val="center"/>
          </w:tcPr>
          <w:p>
            <w:pPr>
              <w:pStyle w:val="TableContents"/>
              <w:bidi w:val="0"/>
              <w:spacing w:before="0" w:after="283"/>
              <w:jc w:val="both"/>
              <w:rPr>
                <w:rFonts w:ascii="Times New Roman;Times;Serif" w:hAnsi="Times New Roman;Times;Serif"/>
                <w:sz w:val="20"/>
              </w:rPr>
            </w:pPr>
            <w:bookmarkStart w:id="1045" w:name="xdx_F19_zlvctnh0ZE92"/>
            <w:bookmarkEnd w:id="1045"/>
            <w:r>
              <w:rPr>
                <w:rFonts w:ascii="Times New Roman;Times;Serif" w:hAnsi="Times New Roman;Times;Serif"/>
                <w:sz w:val="20"/>
              </w:rPr>
              <w:t>General sales and marketing employee cost and other marketing expenses</w:t>
            </w:r>
          </w:p>
        </w:tc>
      </w:tr>
    </w:tbl>
    <w:tbl>
      <w:tblPr>
        <w:tblW w:w="6970" w:type="dxa"/>
        <w:jc w:val="left"/>
        <w:tblInd w:w="0" w:type="dxa"/>
        <w:tblLayout w:type="fixed"/>
        <w:tblCellMar>
          <w:top w:w="0" w:type="dxa"/>
          <w:left w:w="0" w:type="dxa"/>
          <w:bottom w:w="0" w:type="dxa"/>
          <w:right w:w="0" w:type="dxa"/>
        </w:tblCellMar>
      </w:tblPr>
      <w:tblGrid>
        <w:gridCol w:w="260"/>
        <w:gridCol w:w="671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046" w:name="xdx_F0D_zKrNBSqKlYI1"/>
            <w:bookmarkEnd w:id="1046"/>
            <w:r>
              <w:rPr>
                <w:rFonts w:ascii="Times New Roman;Times;Serif" w:hAnsi="Times New Roman;Times;Serif"/>
                <w:sz w:val="20"/>
              </w:rPr>
              <w:t>(5)</w:t>
            </w:r>
          </w:p>
        </w:tc>
        <w:tc>
          <w:tcPr>
            <w:tcW w:w="6710" w:type="dxa"/>
            <w:tcBorders/>
            <w:vAlign w:val="center"/>
          </w:tcPr>
          <w:p>
            <w:pPr>
              <w:pStyle w:val="TableContents"/>
              <w:bidi w:val="0"/>
              <w:spacing w:before="0" w:after="283"/>
              <w:jc w:val="both"/>
              <w:rPr>
                <w:rFonts w:ascii="Times New Roman;Times;Serif" w:hAnsi="Times New Roman;Times;Serif"/>
                <w:sz w:val="20"/>
              </w:rPr>
            </w:pPr>
            <w:bookmarkStart w:id="1047" w:name="xdx_F12_zGwJ1K6drf11"/>
            <w:bookmarkEnd w:id="1047"/>
            <w:r>
              <w:rPr>
                <w:rFonts w:ascii="Times New Roman;Times;Serif" w:hAnsi="Times New Roman;Times;Serif"/>
                <w:sz w:val="20"/>
              </w:rPr>
              <w:t>Interest expense related to debt and change in fair market value of warrant liability</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1048" w:name="xdx_C03_gL3SOSRIBSTB-JQBTY_zhXonQJ5j0Db"/>
      <w:bookmarkEnd w:id="104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customer revenues from the Company’s DTC segment for the three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one customer of the Company’s OEM segment represent approximately $</w:t>
      </w:r>
      <w:bookmarkStart w:id="1049" w:name="xdx_906_eus-gaap--RevenueFromContractWit"/>
      <w:bookmarkEnd w:id="1049"/>
      <w:r>
        <w:rPr>
          <w:rFonts w:ascii="Times New Roman;Times;Serif" w:hAnsi="Times New Roman;Times;Serif"/>
          <w:b w:val="false"/>
          <w:i w:val="false"/>
          <w:caps w:val="false"/>
          <w:smallCaps w:val="false"/>
          <w:sz w:val="20"/>
        </w:rPr>
        <w:t xml:space="preserve">5,147, or </w:t>
      </w:r>
      <w:bookmarkStart w:id="1050" w:name="xdx_900_eus-gaap--ConcentrationRiskPerce"/>
      <w:bookmarkEnd w:id="1050"/>
      <w:r>
        <w:rPr>
          <w:rFonts w:ascii="Times New Roman;Times;Serif" w:hAnsi="Times New Roman;Times;Serif"/>
          <w:b w:val="false"/>
          <w:i w:val="false"/>
          <w:caps w:val="false"/>
          <w:smallCaps w:val="false"/>
          <w:sz w:val="20"/>
        </w:rPr>
        <w:t>32%, of the Company’s consolidated revenues for the three months ended June 30,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051" w:name="xdx_80B_eus-gaap--SubsequentEventsTextBl"/>
      <w:bookmarkEnd w:id="1051"/>
      <w:r>
        <w:rPr>
          <w:rFonts w:ascii="Times New Roman;Times;Serif" w:hAnsi="Times New Roman;Times;Serif"/>
          <w:b/>
          <w:i w:val="false"/>
          <w:caps/>
          <w:sz w:val="20"/>
        </w:rPr>
        <w:t xml:space="preserve">Note 13 - </w:t>
      </w:r>
      <w:bookmarkStart w:id="1052" w:name="xdx_823_zNJ5keXBjA17"/>
      <w:bookmarkEnd w:id="1052"/>
      <w:r>
        <w:rPr>
          <w:rFonts w:ascii="Times New Roman;Times;Serif" w:hAnsi="Times New Roman;Times;Serif"/>
          <w:b/>
          <w:i w:val="false"/>
          <w:caps/>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Dakota Lithium Asset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Legacy Dragonfly entered into an asset purchase agreement (the “Asset Purchase Agreement”) with Clean Liquidation, LLC (assignment for the benefit of creditors), pursuant to which Legacy Dragonfly acquired substantially all of the operating assets associated with the Dakota Lithium® brand and assumed certain related liabilities. The aggregate purchase price was $</w:t>
      </w:r>
      <w:bookmarkStart w:id="1053" w:name="xdx_904_eus-gaap--StockIssuedDuringPerio"/>
      <w:bookmarkEnd w:id="1053"/>
      <w:r>
        <w:rPr>
          <w:rFonts w:ascii="Times New Roman;Times;Serif" w:hAnsi="Times New Roman;Times;Serif"/>
          <w:b w:val="false"/>
          <w:i w:val="false"/>
          <w:caps w:val="false"/>
          <w:smallCaps w:val="false"/>
          <w:sz w:val="20"/>
        </w:rPr>
        <w:t>4.0 million, consisting of $</w:t>
      </w:r>
      <w:bookmarkStart w:id="1054" w:name="xdx_904_ecustom--ConsistingCashValue_pn5"/>
      <w:bookmarkEnd w:id="1054"/>
      <w:r>
        <w:rPr>
          <w:rFonts w:ascii="Times New Roman;Times;Serif" w:hAnsi="Times New Roman;Times;Serif"/>
          <w:b w:val="false"/>
          <w:i w:val="false"/>
          <w:caps w:val="false"/>
          <w:smallCaps w:val="false"/>
          <w:sz w:val="20"/>
        </w:rPr>
        <w:t xml:space="preserve">1.0 million in cash and </w:t>
      </w:r>
      <w:bookmarkStart w:id="1055" w:name="xdx_90D_eus-gaap--ClassOfWarrantOrRightN"/>
      <w:bookmarkEnd w:id="1055"/>
      <w:r>
        <w:rPr>
          <w:rFonts w:ascii="Times New Roman;Times;Serif" w:hAnsi="Times New Roman;Times;Serif"/>
          <w:b w:val="false"/>
          <w:i w:val="false"/>
          <w:caps w:val="false"/>
          <w:smallCaps w:val="false"/>
          <w:sz w:val="20"/>
        </w:rPr>
        <w:t>1,500,000 shares of the Company’s common stock issued at $</w:t>
      </w:r>
      <w:bookmarkStart w:id="1056" w:name="xdx_901_eus-gaap--ClassOfWarrantOrRightE"/>
      <w:bookmarkEnd w:id="1056"/>
      <w:r>
        <w:rPr>
          <w:rFonts w:ascii="Times New Roman;Times;Serif" w:hAnsi="Times New Roman;Times;Serif"/>
          <w:b w:val="false"/>
          <w:i w:val="false"/>
          <w:caps w:val="false"/>
          <w:smallCaps w:val="false"/>
          <w:sz w:val="20"/>
        </w:rPr>
        <w:t>2.00 per share for an aggregate value of $</w:t>
      </w:r>
      <w:bookmarkStart w:id="1057" w:name="xdx_900_eus-gaap--StockIssuedDuringPerio"/>
      <w:bookmarkEnd w:id="1057"/>
      <w:r>
        <w:rPr>
          <w:rFonts w:ascii="Times New Roman;Times;Serif" w:hAnsi="Times New Roman;Times;Serif"/>
          <w:b w:val="false"/>
          <w:i w:val="false"/>
          <w:caps w:val="false"/>
          <w:smallCaps w:val="false"/>
          <w:sz w:val="20"/>
        </w:rPr>
        <w:t>3.0 million. The Asset Purchase Agreement contains customary representations and warranties, covenants, indemnification provisions, and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Asset Purchase Agreement, the Company entered into a Securities Receipt Agreement with certain recipients, pursuant to which the Company issued the shares in exchange for a release of secured claims against the acquired assets. The shares are subject to a 12-month lock-up period, transfer restrictions, and a restrictive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Seventh Term Loan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31, 2026, the Company, Legacy Dragonfly, and Battle Born Battery Products, LLC entered into the Seventh Amendment (the “Seventh Amendment”) to the Term Loan Agreement with the lenders and Alter Domus (US) LLC, as agent. Under the Seventh Amendment, among other things, </w:t>
      </w:r>
      <w:bookmarkStart w:id="1058" w:name="xdx_903_eus-gaap--DebtInstrumentDescript"/>
      <w:bookmarkEnd w:id="1058"/>
      <w:r>
        <w:rPr>
          <w:rFonts w:ascii="Times New Roman;Times;Serif" w:hAnsi="Times New Roman;Times;Serif"/>
          <w:b w:val="false"/>
          <w:i w:val="false"/>
          <w:caps w:val="false"/>
          <w:smallCaps w:val="false"/>
          <w:sz w:val="20"/>
        </w:rPr>
        <w:t>(i) the lenders consented to the asset acquisition described above, (ii) the interest rate was modified to 14.0% per annum (from 12.0%), with all interest payable-in-kind through December 31, 2026, (iii) the commencement date for testing the maximum senior leverage ratio and fixed charge coverage ratio covenants was extended from March 31, 2027 to September 30, 2027, and (iv) the minimum liquidity covenant was modified to require minimum liquidity of $4.0 million from August 31, 2026 through January 31, 2027, and $5.0 million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At-the-Market Offering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June 30, 2026, the Company issued </w:t>
      </w:r>
      <w:bookmarkStart w:id="1059" w:name="xdx_905_eus-gaap--SaleOfStockNumberOfSha"/>
      <w:bookmarkEnd w:id="1059"/>
      <w:r>
        <w:rPr>
          <w:rFonts w:ascii="Times New Roman;Times;Serif" w:hAnsi="Times New Roman;Times;Serif"/>
          <w:b w:val="false"/>
          <w:i w:val="false"/>
          <w:caps w:val="false"/>
          <w:smallCaps w:val="false"/>
          <w:sz w:val="20"/>
        </w:rPr>
        <w:t>124,975 shares of its common stock through its at-the-market offering program, for which it received proceeds of approximately $</w:t>
      </w:r>
      <w:bookmarkStart w:id="1060" w:name="xdx_905_eus-gaap--ProceedsFromIssuanceOf"/>
      <w:bookmarkEnd w:id="1060"/>
      <w:r>
        <w:rPr>
          <w:rFonts w:ascii="Times New Roman;Times;Serif" w:hAnsi="Times New Roman;Times;Serif"/>
          <w:b w:val="false"/>
          <w:i w:val="false"/>
          <w:caps w:val="false"/>
          <w:smallCaps w:val="false"/>
          <w:sz w:val="20"/>
        </w:rPr>
        <w:t>148, net of commissions. </w:t>
      </w:r>
    </w:p>
    <w:p>
      <w:pPr>
        <w:pStyle w:val="TextBody"/>
        <w:bidi w:val="0"/>
        <w:spacing w:before="0" w:after="0"/>
        <w:ind w:left="0" w:right="0" w:hanging="0"/>
        <w:jc w:val="both"/>
        <w:rPr>
          <w:caps w:val="false"/>
          <w:smallCaps w:val="false"/>
        </w:rPr>
      </w:pPr>
      <w:bookmarkStart w:id="1061" w:name="xdx_81A_zvNcpyQt99aj"/>
      <w:bookmarkEnd w:id="106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62" w:name="sh_006"/>
      <w:bookmarkEnd w:id="1062"/>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References in this report (the “Quarterly Report”) to “we,” “us,” “our” or the “Company” refer to Dragonfly Energy Holdings Corp., a Nevada corporation. References to “Legacy Dragonfly” refer to Dragonfly Energy Corp., a Nevada corporation and one of our wholly-owned subsidiaries. The following discussion and analysis of the Company’s financial condition and results of operations should be read in conjunction with the unaudited condensed consolidated financial statements and the notes thereto contained elsewhere in this Quarterly Report. Certain information contained in the discussion and analysis set forth below includes forward-looking statements that involve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together with our financial statements and the related notes and the other financial information included elsewhere in this Quarterly Report and with our audited consolidated financial statements (and notes thereto) for the year ended December 31, 2025 included in our Annual Report on Form 10-K filed with the Securities and Exchange Commission (the “SEC”) on March 30, 2026 (the “Annual Report”), particularly those under “Risk Factors.” This discussion contains forward-looking statements that involve risks and uncertainties. Our actual results could differ materially from those anticipated in these forward-looking statements as a result of various factors, including those discussed below and elsewhere in this Quarterly Report. We undertake no obligation to update these forward-looking statements to reflect events or circumstances after the date of this report or to reflect actual outcomes.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Cautionary Note Regarding Forward Looking-Statements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forward-looking statements made pursuant to the safe harbor provisions of the Private Securities Litigation Reform Act of 1995 under Section 27A of the Securities Act of 1933, as amended (the “Securities Act”),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the actual results to differ materially from those expressed in any forward-looking statement made by us. These factors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service our outstanding indebtedness and comply with the financial covenants in our loan agreement, the failure of which could allow our lenders to accelerate payment under our loan agreement, which would have a material adverse effect on our ability to operate and could require us, among other things, to reduce operations, sell off our assets, seek the protection of bankruptcy courts or shut down our operations and dissolve;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the conversion and the terms of our outstanding Series B Convertible Stock (the “Series B Preferred Stock”) on the market price of our common stock and our ability to redeem and make dividend payments with respect to our Series B Preferred Stock;</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to fund our operations;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increase market penetration into target markets;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and public warrants on the Nasdaq Capital Market;</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the addressable markets that we intend to target to grow as expected;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events or circumstances that result in our failure to timely achieve the anticipated benefits of our customer arrangements, including with Stevens Transport;</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from future product sales in our existing markets or new markets that we enter, including the trucking and industrials markets, and our ability to achieve and maintain profitability;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members of our senior management team or other key personnel;</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suppliers, including suppliers in China;</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customers;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patents and other intellectual property;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retain these customers for future orders;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successfully optimize solid-state cells or to produce commercially viable solid-state cells in a timely manner or at all, or to scale to mass production;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produce lithium battery cells in the United States in a timely manner or at all, or to scale to mass production;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pending litigation and potential product liability claims;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timely achieve the anticipated benefits of our licensing arrangement with Stryten Energy LLC (“Stryten”);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 including changes in the rates of tariffs or any adjustments to the amounts payable by us to customs as a result of improperly identifying the applicable tariff rate payable on our products;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and/or competitive factors (including an economic slowdown or inflationary pressures);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sell the desired amounts of shares of common stock at desired prices under our at-the-market equity offering program;</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projections and estimates regarding our expenses, capital requirements, cash utilization, and need for additional financing;</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reliance on two suppliers for our lithium iron phosphate cells and a single supplier for the manufacture of our battery management system;</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dependence on one manufacturing facility;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global and macroeconomic conditions, including economic, political and social instability, including the Russia-Ukraine conflict, the India-Pakistan conflict, Hamas’ attack on Israel and the Iranian conflict, and their effects on our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Times;Serif" w:hAnsi="Times New Roman;Times;Serif"/>
          <w:b w:val="false"/>
          <w:i/>
          <w:caps w:val="false"/>
          <w:smallCaps w:val="false"/>
          <w:sz w:val="20"/>
        </w:rPr>
        <w:t>Part I-Item 1A-Risk Factors</w:t>
      </w:r>
      <w:r>
        <w:rPr>
          <w:rFonts w:ascii="Times New Roman;Times;Serif" w:hAnsi="Times New Roman;Times;Serif"/>
          <w:b w:val="false"/>
          <w:i w:val="false"/>
          <w:caps w:val="false"/>
          <w:smallCaps w:val="false"/>
          <w:sz w:val="20"/>
        </w:rPr>
        <w:t>” of our Annual Report and in this Quarterly Report for additional risks which could adversely impact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expressly qualified in their entirety by this cautionary notice. You are cautioned not to place undue reliance on any forward-looking statements, which speak only as of the date of this Quarterly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caters to customers in the consumer industry (including the recreational vehicle (“RV”), marine vessel, solar and off-grid residence industries), and trucking, industrial and energy storage markets, with proprietary, patented and disruptive battery cell manufacturing and non-flammable solid-state cell technology currently under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we have sold over 391,000 batteries. For the quarters ended June 30, 2026 and June 30, 2025, we sold 9,049 and 12,134 batteries, respectively, and had $13.2 million and $16.2 million in net sales, respectively. For the six months ended June 30, 2026 and June 30, 2025, we sold 14,832 and 22,979 batteries, respectively, and had $22.9 million and $29.6 million in net sales, respectively. We currently offer several lines of batteries across our two brands, each differentiated by size, power and capacity, consisting of seven different models, which come with an option for internal heat for cold temperature operation or an option for wireless communication using our Dragonfly IntelLigence feature. As a result of changes to our marketing focus and corporate objectives, we are focusing our selling efforts of “Battle Born” branded batteries primarily to original equipment manufacturers (“OEMs”) as well as directly to consumers (“DTC”).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increased from $9.7 million in the quarter ended March 31, 2026 to $13.2 million in the quarter ended June 30, 2026. Our increase in sales was primarily attributable to RV OEM customers resuming more normal ordering patterns after right sizing inventory levels during the previous quarter. Nevertheless, RVIA shipment data for the quarter indicates a continuing decline, reflecting overall macroeconomic conditions. DTC sales increased despite continued macroeconomic pressures on consumer demand, reflecting typical seasonality and some recovery from the increased negative third-party online commentary regarding some of our products, which had impacted customer sentiment and contributed to variability in demand. In response to such commentary, we have initiated legal proceedings to address what we believe to be false and misleading statements made regarding our products. We expect our sales to continue to increase in the next 12 months as our customers expand the number of models in which they include our battery systems for the new model year and as we continue to grow into new markets, including trucking and industrials, with new product offerings. The acquisition of the assets associated with the Dakota Lithium brand also expands our product offerings to include other Lithium battery models and accessories, including those that focus on marine, golf cart, and power sports, in addition to RV. Moreover, we expect the focus of the Dakota Lithium brand on retail sales to restore that channel for the Company moving forward , with such assets expected to contribute material revenue beginning in the fourth quarter of 2026. We expect incremental operating cost increases in order to restore Dakota Lithium’s commercial operations ahead of its expected revenue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2026, we continued to implement our corporate optimization initiative, prioritizing product development to drive near-term revenue and profit. For instance, this strategic shift is accelerating our development of purpose-built solutions for the trucking and industrial markets, resulting in the recent launch of our Battle Born DualFlow Power Pack, a practical, cost-effective hybrid electrification solution for the trucking industry. We also received a purchase order from Stevens Transport valued in excess of $3 million for approximately 500 trucks, representing one of the largest single-fleet deployments of our heavy-duty trucking solutions to date and spanning our full product portfolio. The Company also continued to advance its previously announced facility consolidation during the second quarter. While the consolidation was not fully completed by quarter-end, the Company expects to complete the principal remaining actions during the third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during the second quarter of 2026, we continued to advance our intellectual property portfolio in support of our solid-state battery development and dry electrode manufacturing platform. In April 2026, we announced that we had received an allowance from the Japan Patent Office for our application titled “Powderized Solid-State Electrolyte and Electroactive Materials,” marking our first patent application allowance in Japan and covering innovations in powderized solid-state electrolyte and electroactive materials, a core component of our solid-state battery development and dry electrode manufacturing platform. In June 2026, we announced that we had received a notice of allowance from the European Patent Office for our patent application titled “Systems and Methods for Dry Powder Coating Layers of an Electrochemical Cell,” which covers key elements of our proprietary dry electrode manufacturing platform, including the use of dry powder coating to form critical layers within an electrochemical cell and processes that can support electrode, separator, and solid-state electrolyte layers. We also announced in June 2026 that we had received a notice of allowance from the United States Patent and Trademark Office for our patent application titled “Powderized Solid-State Electrolyte and Electroactive Materials,” which is directed toward manufacturing processes that support our solid-state battery development efforts.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source the lithium iron phosphate (“LFP”) cells incorporated into our batteries from a limited number of carefully selected suppliers that can meet our demanding quality standards and with whom we have developed long-term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(“Thomason Jones”) and the other parties thereto, we also acquired the assets, including the Wakespeed Offshore brand (“Wakespeed”) of Thomason Jones, allowing us to include our own alternator regulator in systems that we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conventional LFP batteries, we have been developing proprietary dry electrode cell manufacturing processes and solid-state cell technology. We believe that our solid-state technology design allows for a much safer, more efficient battery cell that we believe will be a key differentiator in the energy storage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we completed the construction of our proprietary and patented cell electrode manufacturing pilot line. Our patented dry deposition process is chemistry agnostic - meaning it can produce battery cells across a variety of chemistries - and is less capital intensive, uses less energy, and can produce cells in a smaller manufacturing footprint, leading to a lower total cost of manufacturing. In August 2023, we successfully demonstrated the ability to produce anode material at scale using this manufacturing process and did the same with cathode material in October 2023. We have since produced sample cells using PFAS-free binders and automotive-grade electrode loadings and C-rates, and are now working on the design and deployment of scaled-up coating equipment that can be applied to a GWh-scale factory, reflecting the shift in industry priorities from cell performance to cost-effective scalability.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cash totaling $6.3 million. Our net loss for the quarter ended June 30, 2026 was $4.4 million and our net loss for the quarter ended June 30, 2025 was $7.0 million. As discussed under “</w:t>
      </w:r>
      <w:r>
        <w:rPr>
          <w:rFonts w:ascii="Times New Roman;Times;Serif" w:hAnsi="Times New Roman;Times;Serif"/>
          <w:b w:val="false"/>
          <w:i/>
          <w:caps w:val="false"/>
          <w:smallCaps w:val="false"/>
          <w:sz w:val="20"/>
        </w:rPr>
        <w:t>-Liquidity and Capital Resources</w:t>
      </w:r>
      <w:r>
        <w:rPr>
          <w:rFonts w:ascii="Times New Roman;Times;Serif" w:hAnsi="Times New Roman;Times;Serif"/>
          <w:b w:val="false"/>
          <w:i w:val="false"/>
          <w:caps w:val="false"/>
          <w:smallCaps w:val="false"/>
          <w:sz w:val="20"/>
        </w:rPr>
        <w:t>” below we expect that we will need to raise additional funds, including through the use of the ATM (as defined below) and the issuance of equity, equity-related or debt securities or by obtaining additional credit from financial institutions to fund, together with our principal sources of liquidity, ongoing costs.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reduce operations, sell off our assets, seek the protection of bankruptcy courts or shut down our operations and dissolve.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Agreement with Stryten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Legacy Dragonfly and Battle Born Battery Products, LLC (“Battle Born LLC”), a wholly-owned subsidiary of Legacy Dragonfly, entered into a License Agreement (the “License Agreement”) with Stryten. Pursuant to the License Agreement, Battle Born LLC granted Stryten an exclusive, worldwide license to use certain trademarks relating to Legacy Dragonfly’s lithium-ion battery brand, Battle Born Batteries® (the “Licensed Trademarks”) for business-to-business sales of batteries to customers within the following markets: (i) automative, (ii) marine, (iii) powersports, (iv) lawn and garden, (v) golf cart, and (vi) military and defense (such industries, the “Stryten Market”). In exchange for the licensing rights, Stryten agreed to pay Battle Born LLC an initial licensing fee of five million dollars ($5,000,000) (the “Initial Licensing Fee”), which was paid on August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License Agreement provides for mid-single digit royalty payments based on net sales using the Licensed Trademarks, with a tiered structure reaching up to twenty-five million dollars ($25,000,000), at which point Stryten will be required to pay a nominal annual license fee. Additional fees will apply for battery design and contract manufacturing services outside of the License Agreement. The License Agreement is perpetual in term, unless terminated by: (i) Battle Born LLC if Stryten fails to pay the royalty payments required by the License Agreement and such royalty payments remain unpaid thirty (30) days after notice of such overdue payments (provided that Battle Born LLC uses reasonable efforts to discuss such overdue payments with Stryten), or (ii) either party (x) if the other party materially breaches the License Agreement and fails to cure such material breach within thirty (30) days of notice of such breach, (y) upon the occurrence of certain bankruptcy-related events, or (z) under certain circumstances, if the aggregate royalty payments received by Battle Born LLC under the License Agreement are less than fifteen million dollars ($15,000,000) after five (5) years.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initial merger consideration in connection with our business combination in October of 2022, up to 444,445 additional shares of common stock (“Earnout Shares”) may be issued based on achieving specified milestones in three tranches: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Tranche (166,667 shares): Issuable if 2023 total audited revenue is at least $250 million and audited operating income is at least $35 million. This milestone was not achieved for 2023.</w:t>
            </w:r>
          </w:p>
        </w:tc>
      </w:tr>
      <w:tr>
        <w:trPr/>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Tranche (138,889 shares): Issuable if the volume-weighted average trading price of common stock reaches $2,025.00 over any 20 trading days within a 30-day period, on or before December 31, 2026.</w:t>
            </w:r>
          </w:p>
        </w:tc>
      </w:tr>
      <w:tr>
        <w:trPr/>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Tranche (138,889 shares): Issuable if the volume-weighted average trading price of common stock reaches $2,925.00 over any 20 trading days within a 30-day period, on or before December 31, 2028.</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occurs during the second or third earnout periods, unachieved milestones will be automatically deemed satisfied if the share price at the time of the transaction meets or exceeds $2,025.00 for the second period or $2,925.00 for the third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February 2025 Registered Direct Offering and Concurrent Private Placement, Fifth Amendment to Term Loan Agreement and April 2025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we entered into a securities purchase agreement with a single institutional investor, pursuant to which we sold in a registered direct offering (the “Registered Direct Offering”) 18 shares of Series A Convertible Preferred Stock, par value $0.001 per share (the “Series A Preferred Stock”), at a price of $100,000 per share, initially convertible into shares of our common stock, at a conversion price of $23.32 per share of common stock. The Series A Preferred Stock was also convertible by the investor at an adjusted conversion price, subject to the applicable floor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sale of the Series A Preferred Stock in the Registered Direct Offering, in a private placement offering pursuant to the Purchase Agreement (the “Private Placement” and, together with the Registered Direct Offering, the “Offerings”), we sold, at the initial closing of the Private Placement (the “Initial Closing” and, together with the Registered Direct Offering, the “Initial Offerings”), (i) an additional 17 shares of Series A Preferred Stock at the same offering price as the Series A Preferred Stock offered in the Registered Direct Offering, initially convertible into shares of common stock at a conversion price of $23.32 per share, and (ii) warrants (the “Private Placement Convertible Preferred Warrants”) to purchase up to an aggregate of 400 shares of Series A Preferred Stock (the “Private Placement Warrant Shares”), with an exercise price of $100,000 per share of Series A Preferred Stock, and a term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under each Private Placement Convertible Preferred Warrant was $100,000 per share of Series A Preferred Stock. Each Private Placement Convertible Preferred Warrant was exercisable for 20 shares of Series A Preferred Stock in minimum increments of $500,000. The Private Placement Convertible Preferred Warrants had a term beginning on the issuance date and ending on or prior to the earlier of (i) the thirty-three (33) month anniversary of the date the shares of common stock issued or issuable upon the conversion of the Series A Preferred Stock issued in the concurrent Private Placement were registered for resale (“Registration Effectiveness”) pursuant to an effective registration statement under the Securities Act of 1933, as amended, (the “Securities Act”) (such date, the “Registration Effectiveness Date”) and (ii) (A) the consummation of a Change of Control (as defined in the certificate of designation) and (B) the consummation of a redemption of the then outstanding Series A Preferred Stock in full. The exercise price and number of shares of Series A Preferred Stock issuable upon exercise were subject to appropriate adjustment in the event of share dividends, share splits, reorganizations or similar events affecting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2025, pursuant to the Purchase Agreement, we sold to the Purchaser, in the second closing of the Private Placement (the “Second Closing”) 45 Preferred Shares at a price of $100,000 per share, initially convertible into shares of common stock at a conversion price of $5.95 per share, subject to adjustment.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to us from the Initial Offerings and the Second Offering, after deducting the placement agent’s fees and expenses and estimated offering expenses, were approximately $3.2 million and $4.2 million, respectively, excluding the net proceeds, if any, from the exercise of the Private Placement Convertible Preferred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precedent to the closing of the Initial Offerings, on February 26, 2025, we entered into the Fifth Amendment (the “Fifth Amendment”) to the Term Loan Agreement with the Term Loan Lenders. Under the Fifth Amendment, the Term Loan Lenders agreed to, among other matters (i) receive no principal or interest payments under the Term Loan Agreement through March 31, 2026, and (ii) remove certain financial covenant tests under the Term Loan, provided that we maintain cash and cash equivalents equal to at least $2.5 million through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2025, we and the holder of Private Placement Convertible Preferred Warrants agreed to cancel such holder’s Private Placement Convertible Preferred Warrants to purchase up to an aggregate of 400 shares of Series A Preferred Stock, with an exercise price of $100,000 per share of Series A Preferred Stock. As a result, the Private Placement Convertible Preferred Warrants are no longer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2025, we entered into a Settlement and Release Agreement (the “Release Agreement”) with the holder of the outstanding shares of Series A Preferred Stock. Pursuant to the terms of the Release Agreement, we issued and delivered 210,000 shares of common stock to the holder and the holder surrendered to us all of the outstanding shares of Series A Preferred Stock. In addition, under the Release Agreement, upon the issuance of the shares of common stock, our obligations under the Purchase Agreement, the Certificate of Designation governing the Series A Preferred Stock and the other agreements entered into in connection with the offering of the Series A Preferred Stock were satisfied in full and the Purchase Agreement and the other agreements were deemed terminated and any remaining shares of Series A Preferred Stock that were outstanding or deemed to be outstanding were deemed cancelled and no longer outstanding. We have no further obligation to issue any shares of common stock or Series A Preferred Stock to the holder under the Purchase Agreement or otherwise. Under the Release Agreement, each party also provided a full release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we filed a Withdrawal of Designation relating to the Series A Preferred Stock (the “Withdrawal of Designation”) with the Secretary of State of the State of Nevada. The Withdrawal of Designation became effective upon filing and eliminated from our Articles of Incorporation, as amended from time to time, all matters set forth in the previously filed Certificate of Designation of the Powers, Preferences and Relative, Participating, Optional and Other Restrictions of Series A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2025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2025, we entered into an underwriting agreement with Canaccord Genuity LLC (“Canaccord”), as representative of the several underwriters named in the certain underwriting agreement, relating to an underwritten public offering (the “July 2025 Public Offering”) of 2,198,000 shares of common stock, at a price to the public of $2.50 per share. On July 31, 2025, we completed the July 2025 Public Offering raising gross proceeds of approximately $5.5 million and net proceeds of $4.7 million after deducting underwriting discounts and commissions and other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October 2025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2025, we entered into an underwriting agreement with Canaccord, as representative of the several underwriters (the “First Offering Underwriters”) named in the underwriting agreement dated October 6, 2025, relating to an underwritten public offering (the “First October 2025 Offering”) of 2,000,000 shares of common stock at a price to the public of $12.50 per share, which includes the First Offering Underwriters’ option to purchase an additional 300,000 shares of common stock, at a public offering price of $12.50 per share. On October 8, 2025, we completed the First October 2025 Offering, including the full exercise of the additional 300,000 shares of common stock, raising gross proceeds of approximately $28.8 million and net proceeds of $26.9 million after deducting underwriting discounts and commissions and other estimated offering expenses payable by us. On October 8, 2025 upon a request from our Term Loan Lenders under the term loan agreement, we repaid $4.0 million of principal to satisfy a portion of our outstanding principal under the Term Loan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we entered into an additional underwriting agreement with Canaccord, as representative of the several underwriters (the “Second Offering Underwriters”) named in the underwriting agreement, dated October 17, 2025 (the “Second Offering Underwriting Agreement”), relating to an underwritten public offering (the “Second October 2025 Offering”) of 3,600,000 shares of common stock at a price to the public of $13.50 per share, and (ii) prefunded warrants (the “October 2025 Pre-Funded Warrants”) to purchase up to 500,000 shares of common stock (the “Pre-Funded Warrant Shares”) at a price to the public of $13.50 per October 2025 Pre-Funded Warrant, which represents the per share public offering price for the Shares (as defined below) less the $0.001 per share exercise price for each such Pre-Funded Warrant. During the quarter ended June 30, 2026, the October 2025 Pre-Funded Warrants were exercised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Sixth Amendment to Term Loan, Series B Preferred Stock Issuance and 2025 Debt 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20, 2025, we entered into the Sixth Amendment to the Term Loan Agreement with the Term Loan Lenders to, among other matters, (i) adjust the fixed interest rate of the remaining outstanding principal amount under the Term Loan Agreement to a fixed interest rate of 12% per annum, payable monthly commencing December 31, 2025 that will mature in October 2027, and (ii) waive any applicable financial covenants (except for a financial covenant requiring us to maintain cash and cash equivalents equal to or greater than $5.0 million) through December 31, 2026. In connection with the Sixth Amendment, (i) we made a prepayment of $45.0 million of outstanding indebtedness under the Term Loan Agreement from the net proceeds from the Second October 2025 Offering (the “Loan Prepayment”), (ii) the Term Loan Lenders forgave the repayment of $5.0 million of the outstanding principal under the Term Loan Agreement, (iii) we paid a fee to the Term Loan Lenders equal to approximately $450,000 in cash and $450,000 added to principal outstanding amount of the loan under the Term Loan Agreement; and (iv) we issued 25,000 shares of Series B Preferred Stock in exchange for $25.0 million outstanding principal amount of the Term Loan. The remaining outstanding principal amount under the Term Loan Agreement of approximately $19.0 million, after the repayment and forgiveness disclosed above, will have a fixed interest rate of 12% per annum, payable monthly commencing December 31, 2025 and will mature in October 2027. In addition, certain covenants under the Term Loan Agreement have been waived through December 31, 2026, and we have agreed to a minimum liquidity covenant of $5.0 million calculated on a monthly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we filed a Certificate of Designation of the Powers, Preferences and Relative, Participating, Optional and Other Restrictions of Series B Convertible Preferred Stock (the “Series B Certificate of Designation”) with the Secretary of State of the State of Nevada to establish the rights, privileges, preferences, and restrictions of the Series B Preferred Stock. As set forth in the Certificate of Designation, we designated 25,000 shares of preferred stock as Series B Preferred Stock with a stated value of $1,000 per share. The Series B Preferred Stock is convertible into shares of common stock at the option of the Term Lenders at a conversion price of $31.50 per share, or an aggregate of 793,651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we entered into the Exchange Agreement with the Term Loan Lenders pursuant to which we issued 25,000 shares of newly created Series B Preferred Stock in exchange for $25.0 million outstanding principal amount of the Term Loan. The Series B Preferred Stock (i) is convertible into shares of common stock at the option of the Term Loan Lenders at a conversion price of $31.50 per share, or an aggregate of 793,651 shares of common stock, (ii) has a dividend of 8% per annum payable quarterly in cash and (iii) has a dividend of 2% per annum payable quarterly in kind (“PIK Dividends”), which includes the aggregate amount of all paid PIK Dividends and any accrued and unpaid PIK Dividends on the applicable dividend date. In addition, we have a right to redeem any outstanding shares of the Series B Preferred Stock at our option at the greater of (i) the stated value plus any outstanding dividends and (ii) the as-converted value of the shares of common stock underlying the Series B Preferred Stock (the “Optional Redemption Price”). The Term Loan Lenders have also agreed not to convert any shares of the Series B Preferred Stock for a period of six months following the issuance of the Series B Preferred Stock. In connection with any future equity offerings, we will be required to use 50% of the net proceeds from such offering to redeem outstanding shares of the Series B Preferred Stock at the Optional Redemption Price. In the event we have not redeemed the outstanding shares of Series B Preferred Stock by October 7, 2027 or upon the occurrence of a Non-Payment Event (as defined in the Series B Certificate of Designation), the holders will have the right to require us to redeem the Series B Preferred Stock at the Optional Redemption Price.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Distribution Agreement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entered into an Equity Distribution Agreement (the “Equity Distribution Agreement”) with Canaccord Genuity LLC (“Canaccord”) under which we may offer and sell, from time to time, shares of our common stock through an at-the-market equity offering program (the “ATM”) for up to $50.0 million in gross proceeds. Subject to the terms and conditions of the Equity Distribution Agreement, Canaccord will use commercially reasonable efforts to sell shares of our common stock from time to time based upon our instructions, including any price, time or size limits specified by us. We are not obligated to sell any shares of common stock under the Equity Distribution Agreement. We will pay Canaccord a commission of 3.0% of the aggregate gross proceeds from each sale of shares of common stock and will reimburse Canaccord for certain specified expenses. During the three months ended June 30, 2026, we sold 411,100 shares of common stock pursuant to the ATM for net proceeds of approximately $0.8 million, after deducting sales agent commissions.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Dakota Lithium Asset Purchase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Legacy Dragonfly entered into an asset purchase agreement (the “Asset Purchase Agreement”) with Clean Liquidation, LLC (assignment for the benefit of creditors), pursuant to which Legacy Dragonfly acquired substantially all of the operating assets associated with the Dakota Lithium® brand and assumed certain related liabilities. The aggregate purchase price was $4.0 million, consisting of $1.0 million in cash and 1,500,000 shares of the Company’s common stock issued at $2.00 per share for an aggregate value of $3.0 million. The Asset Purchase Agreement contains customary representations and warranties, covenants, indemnification provisions, and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Asset Purchase Agreement, the Company entered into a Securities Receipt Agreement with certain recipients, pursuant to which the Company issued the shares in exchange for a release of secured claims against the acquired assets. The shares are subject to a 12-month lock-up period, transfer restrictions, and a restrictive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Seventh Amendment to Term Loan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the Company, Legacy Dragonfly, and Battle Born Battery Products, LLC entered into the Seventh Amendment (the “Seventh Amendment”) to the Term Loan Agreement with the Term Loan Lenders and Alter Domus (US) LLC, as agent. Under the Seventh Amendment, among other things, (i) the Term Loan Lenders consented to the asset acquisition described above, (ii) the interest rate was modified to 14.0% per annum (from 12.0%), with all interest payable-in-kind through December 31, 2026, (iii) the commencement date for testing the maximum senior leverage ratio and fixed charge coverage ratio covenants was extended from March 31, 2027 to September 30, 2027, and (iv) the minimum liquidity covenant was modified to require minimum liquidity of $4.0 million from August 31, 2026 through January 31, 2027, and $5.0 million thereafter.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position and results of operations depend to a significant extent on the following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 Market Consumers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ultimately depends on demand from consumers in our current end markets. We generate sales through (1) DTC and (2) OEMs, particularly in the RV market. As our business has evolved, our growth strategy has increasingly shifted toward OEM, fleet, and industrial channels, where we can deliver integrated energy storage solutions at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from end market consumers is impacted by a number of factors, including travel restrictions, fuel costs and energy demands (including an increasing trend towards the use of green energy), as well as overall macro-economic conditions and inflation. Sales of our batteries have benefited from the increased adoption of the RV lifestyle, the demand for and inclusion of additional appliances and electronics in RVs, and the accelerating trend of solar power adoption among RV customers. However, macro-economic conditions and increased competition from imported battery packs have led to a decrease in direct to consumer sales. We have focused on product diversification, including the introduction of batteries equipped with our Dragonfly IntelLigence technology and the expansion of complementary system components that support integrated power solutions across our end markets. We expect that direct to consumer sales will remain relatively flat through 2026. However, we expect growth among our existing RV OEM customers to be driven by expanded adoption of our products across additional models and configurations, as well as increased system content per unit, rather than solely by changes in overall RV shipment volumes. In addition, we anticipate increased revenue from continued expansion within existing customer relationships across other end markets, including industrial and commercial energy storage applications and the heavy-duty trucking market, where fleet customers have begun to adopt our systems and expand deployments following initial pilot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carefully selected cell manufacturers located in China, and a single supplier, also located in China, to manufacture our proprietary battery management system. Our close working relationships with our China-based LFP cell suppliers, reflected in our ability to increase our purchase order volumes (qualifying us for related volume-based discounts) and order and receive delivery of cells in anticipation of required demand, have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we are actively working down our inventory to more appropriate safety stock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sales consist of sales of numerous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Production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battery assembly currently takes place at our 390,240 square foot headquarters and manufacturing facility located in Reno, Nevada. We currently operate four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 We have also focused on optimizing our manufacturing efficiency and throughput, enabling us to increase our production capacity without the need for increased headcount.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own conventional LFP cells and, in the longer term, solid 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is currently primarily focused on scaling our proprietary dry electrode process for domestic production of full LFP cells. Although we have reallocated resources from the advanced manufacturing of solid-state lithium-ion batteries in order to focus on conventional cells, we expect to return to the solid-state chemistry as capital becomes more available for these longer term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are primarily generated from the sale of our LFP batteries to OEMs and directly to consumers, as well as chargers and other accessories, either individually or bundled, and recognition of deferred licensing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includes the cost of cells and other components of our LFP batteries, labor and overhead, logistics and freight costs, and depreciation of manufacturing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calculated as net sales less cost of goods sold, may vary between periods and is primarily affected by various factors including average selling prices, product costs, product mix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include personnel-related expenses for scientists, experienced engineers and technicians as well as the material and supplies to support the development of new products and our solid-state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include personnel-related expenses attributable to our executive, finance, human resources, and engineering and product development organizations, certain facility and information technology costs, and fees for professional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consists primarily of debt extinguishment, interest expense, the change in fair value of the warrant liability and amortization of debt issuance costs.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three months ended June 30, 2026, and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three months ended June 30, 2026 and June 30, 2025. This data should be read together with our financial statements and related notes included elsewhere in this Quarterly Report, and is qualified in its entirety by reference to such financial statements and related notes.</w:t>
      </w:r>
    </w:p>
    <w:p>
      <w:pPr>
        <w:pStyle w:val="TextBody"/>
        <w:bidi w:val="0"/>
        <w:spacing w:before="0" w:after="0"/>
        <w:ind w:left="0" w:right="0" w:hanging="0"/>
        <w:jc w:val="both"/>
        <w:rPr>
          <w:caps w:val="false"/>
          <w:smallCaps w:val="false"/>
        </w:rPr>
      </w:pPr>
      <w:r>
        <w:rPr>
          <w:caps w:val="false"/>
          <w:smallCaps w:val="false"/>
        </w:rPr>
        <w:t> </w:t>
      </w:r>
    </w:p>
    <w:tbl>
      <w:tblPr>
        <w:tblW w:w="9683" w:type="dxa"/>
        <w:jc w:val="left"/>
        <w:tblInd w:w="0" w:type="dxa"/>
        <w:tblLayout w:type="fixed"/>
        <w:tblCellMar>
          <w:top w:w="0" w:type="dxa"/>
          <w:left w:w="0" w:type="dxa"/>
          <w:bottom w:w="0" w:type="dxa"/>
          <w:right w:w="0" w:type="dxa"/>
        </w:tblCellMar>
      </w:tblPr>
      <w:tblGrid>
        <w:gridCol w:w="4910"/>
        <w:gridCol w:w="60"/>
        <w:gridCol w:w="140"/>
        <w:gridCol w:w="680"/>
        <w:gridCol w:w="95"/>
        <w:gridCol w:w="60"/>
        <w:gridCol w:w="119"/>
        <w:gridCol w:w="1130"/>
        <w:gridCol w:w="95"/>
        <w:gridCol w:w="60"/>
        <w:gridCol w:w="140"/>
        <w:gridCol w:w="680"/>
        <w:gridCol w:w="95"/>
        <w:gridCol w:w="60"/>
        <w:gridCol w:w="119"/>
        <w:gridCol w:w="1130"/>
        <w:gridCol w:w="110"/>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3"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1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11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3" w:type="dxa"/>
            <w:gridSpan w:val="14"/>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13,159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16,248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8,816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67.0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11,643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71.7</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4,343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4,605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28.3</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4,617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4,619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28.4</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15.8</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7,242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7,886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48.5</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(20.2</w:t>
            </w:r>
          </w:p>
        </w:tc>
        <w:tc>
          <w:tcPr>
            <w:tcW w:w="110" w:type="dxa"/>
            <w:tcBorders/>
            <w:shd w:fill="CCEE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(5,442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(33.5</w:t>
            </w:r>
          </w:p>
        </w:tc>
        <w:tc>
          <w:tcPr>
            <w:tcW w:w="110" w:type="dxa"/>
            <w:tcBorders/>
            <w:shd w:fill="CCEE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10.4</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rPr>
            </w:pPr>
            <w:r>
              <w:rPr>
                <w:b/>
              </w:rPr>
              <w:t>Total 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(1,487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(3,753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(23.1</w:t>
            </w:r>
          </w:p>
        </w:tc>
        <w:tc>
          <w:tcPr>
            <w:tcW w:w="110" w:type="dxa"/>
            <w:tcBorders/>
            <w:shd w:fill="FFFFFF" w:val="clear"/>
            <w:vAlign w:val="center"/>
          </w:tcPr>
          <w:p>
            <w:pPr>
              <w:pStyle w:val="TableContents"/>
              <w:bidi w:val="0"/>
              <w:spacing w:before="0" w:after="283"/>
              <w:jc w:val="left"/>
              <w:rPr/>
            </w:pPr>
            <w:r>
              <w:rPr/>
              <w:t>)</w:t>
            </w:r>
          </w:p>
        </w:tc>
      </w:tr>
      <w:tr>
        <w:trPr/>
        <w:tc>
          <w:tcPr>
            <w:tcW w:w="4910" w:type="dxa"/>
            <w:tcBorders/>
            <w:shd w:fill="CCEEFF" w:val="clear"/>
            <w:vAlign w:val="center"/>
          </w:tcPr>
          <w:p>
            <w:pPr>
              <w:pStyle w:val="TableContents"/>
              <w:bidi w:val="0"/>
              <w:spacing w:before="0" w:after="283"/>
              <w:jc w:val="left"/>
              <w:rPr>
                <w:b/>
              </w:rPr>
            </w:pPr>
            <w:r>
              <w:rPr>
                <w:b/>
              </w:rPr>
              <w:t>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(4,386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(7,034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(43.3</w:t>
            </w:r>
          </w:p>
        </w:tc>
        <w:tc>
          <w:tcPr>
            <w:tcW w:w="110" w:type="dxa"/>
            <w:tcBorders/>
            <w:shd w:fill="CCEE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b/>
              </w:rPr>
            </w:pPr>
            <w:r>
              <w:rPr>
                <w:b/>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(4,386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(7,034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(43.3</w:t>
            </w:r>
          </w:p>
        </w:tc>
        <w:tc>
          <w:tcPr>
            <w:tcW w:w="110" w:type="dxa"/>
            <w:tcBorders/>
            <w:shd w:fill="CCEE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b/>
              </w:rPr>
            </w:pPr>
            <w:r>
              <w:rPr>
                <w:b/>
              </w:rPr>
              <w:t>Less: Preferred Stock Dividends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rPr>
            </w:pPr>
            <w:r>
              <w:rPr>
                <w:b/>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(5,517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(41.9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(7,034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(43.3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1865"/>
        <w:gridCol w:w="60"/>
        <w:gridCol w:w="140"/>
        <w:gridCol w:w="680"/>
        <w:gridCol w:w="60"/>
        <w:gridCol w:w="60"/>
        <w:gridCol w:w="119"/>
        <w:gridCol w:w="1130"/>
        <w:gridCol w:w="60"/>
        <w:gridCol w:w="60"/>
        <w:gridCol w:w="140"/>
        <w:gridCol w:w="680"/>
        <w:gridCol w:w="60"/>
        <w:gridCol w:w="60"/>
        <w:gridCol w:w="119"/>
        <w:gridCol w:w="1130"/>
        <w:gridCol w:w="75"/>
      </w:tblGrid>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49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498" w:type="dxa"/>
            <w:gridSpan w:val="14"/>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both"/>
              <w:rPr/>
            </w:pPr>
            <w:r>
              <w:rPr/>
              <w:t>DTC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36.6</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both"/>
              <w:rPr/>
            </w:pPr>
            <w:r>
              <w:rPr/>
              <w:t>OEM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61.9</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both"/>
              <w:rPr/>
            </w:pPr>
            <w:r>
              <w:rPr/>
              <w:t>Licensing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both"/>
              <w:rPr/>
            </w:pPr>
            <w:r>
              <w:rPr/>
              <w:t>Net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13,159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16,248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decreased by $3.1 million, or 19.0%, to $13.2 million for the three months ended June 30, 2026, as compared to $16.2 million for the three months ended June 30, 2025. This decrease was primarily due to lower OEM and DTC sales. RV OEM sales declined due to a slower-than-anticipated market recovery, as reflected in RVIA shipment data for the quarter, as well as overall macroeconomic conditions. DTC sales declined due to macroeconomic pressures on consumer demand, as well as negative third-party online commentary regarding certain of our products, which we believe has adversely affected customer sentiment. We have initiated legal proceedings to address this commentary. We expect our sales to increase in the next 12 months as our customers expand the number of models they include our battery systems in for the new model year and our entrance into new markets, trucking and industrials, with new product offerings.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decreased by $2.8 million, or 24.3%, to $8.8 million for the three months ended June 30, 2026, as compared to $11.6 million for the three months ended June 30, 2025. This decrease was primarily due to lower unit volume of batteries and accessories, along with $1.1 million in IEEPA tariff refund recognized as a reduction to cost of sales and $0.5 million decrease in overhead allocated to cost of goods sold. We expect our cost of goods sold to increase over the next 12 months in conjunction with the anticipated increase in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$0.3 million, or 5.7%, to $4.3 million for the three months ended June 30, 2026, as compared to $4.6 million for the three months ended June 30, 2025. The decrease in gross profit was primarily due to lower unit volume of battery and accessory sales, with an offset from the tariff refund recognized in cost of sales. Gross profit percentage increased by 4.7% to 33.0% primarily due to $1.1 million in IEEPA tariff refund recognized as a reduction to 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$0.1 million, or 6.5%, to $0.6 million for the three months ended June 30, 2026, as compared to $0.7 million for the three months ended June 30, 2025. This decrease was primarily due to a decrease in wage expense of $0.1 million resulting from reduced headcount. We expect research and development expenses to remain relatively stable over the next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stayed the same at $4.6 million for the three months ended June 30, 2026 and June 30, 2025. A decrease in depreciation and professional fees in the amount of $0.2 million was offset by an increase in travel and other operating expenses. Looking forward, we anticipate that general and administrative expenses as a percentage of revenue will decrease over the next 12 months. This expectation is based on targeted cost reduction measures which have been implemented, including further reductions in professional fees, continued optimization of lease agreements, and ongoing evaluation of staffing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decreased by $0.6 million, or 23.2%, to $2.0 million for the three months ended June 30, 2026, as compared to $2.6 million for the three months ended June 30, 2025. This decrease was primarily due to lower employee-related costs in the amount of $0.2 million and lower marketing expenses of $0.3 million, both related to cost reduction measures implemented in the second quarter, and lower shipping costs of $0.1 million related to lower sales. We expect our Selling and Marketing Expenses to decrease over the next 12 months due to cost reduction measures implemented in the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totaled $1.5 million for the three months ended June 30, 2026 as compared to total other expense of $3.8 million for the three months ended June 30, 2025. Other expense of $1.5 million for the three months ended June 30, 2026 was comprised primarily of interest expense related to our debt securities. Other expense of $3.8 million in three months ended June 30, 2025 was comprised primarily of interest expense of $5.5 million related to our debt securities partially offset by a change in fair market value of warrant liability in the amount of $1.7 million.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 Expense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tax expense recorded for the three months ended June 30, 2026 or June 30, 2025.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$37.7 million was recorded as of the year ended December 31, 2025 and is unchanged as of June 30,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a net loss of $4.4 million for the three months ended June 30, 2026, as compared to net loss of $7.0 million for the three months ended June 30, 2025. As described above, this result was driven by lower sales and lower cost of goods sold, and significantly offset by lower interest expense related to our debt securities and recognizing the IEEPA tariff refunds as a cost reduction against cost of sales.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six months ended June 30, 2026 and June 30,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six months ended June 30, 2026, and the six months ended June 30, 2025. This data should be read together with our financial statements and related notes included elsewhere in this Quarterly Report, and is qualified in its entirety by reference to such financial statements and related notes.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833" w:type="dxa"/>
        <w:jc w:val="left"/>
        <w:tblInd w:w="0" w:type="dxa"/>
        <w:tblLayout w:type="fixed"/>
        <w:tblCellMar>
          <w:top w:w="0" w:type="dxa"/>
          <w:left w:w="0" w:type="dxa"/>
          <w:bottom w:w="0" w:type="dxa"/>
          <w:right w:w="0" w:type="dxa"/>
        </w:tblCellMar>
      </w:tblPr>
      <w:tblGrid>
        <w:gridCol w:w="4910"/>
        <w:gridCol w:w="60"/>
        <w:gridCol w:w="140"/>
        <w:gridCol w:w="755"/>
        <w:gridCol w:w="95"/>
        <w:gridCol w:w="60"/>
        <w:gridCol w:w="119"/>
        <w:gridCol w:w="1130"/>
        <w:gridCol w:w="95"/>
        <w:gridCol w:w="60"/>
        <w:gridCol w:w="140"/>
        <w:gridCol w:w="755"/>
        <w:gridCol w:w="95"/>
        <w:gridCol w:w="60"/>
        <w:gridCol w:w="119"/>
        <w:gridCol w:w="1130"/>
        <w:gridCol w:w="110"/>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3"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11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3" w:type="dxa"/>
            <w:gridSpan w:val="14"/>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22,863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29,604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71.2</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28.8</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5.7</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9,099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37.1</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17.1</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14,679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64.2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17,728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59.9</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(8,626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(9,195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(31.1</w:t>
            </w:r>
          </w:p>
        </w:tc>
        <w:tc>
          <w:tcPr>
            <w:tcW w:w="110" w:type="dxa"/>
            <w:tcBorders/>
            <w:shd w:fill="CCEE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(10,143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(34.3</w:t>
            </w:r>
          </w:p>
        </w:tc>
        <w:tc>
          <w:tcPr>
            <w:tcW w:w="110" w:type="dxa"/>
            <w:tcBorders/>
            <w:shd w:fill="CCEE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18.6</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rPr>
            </w:pPr>
            <w:r>
              <w:rPr>
                <w:b/>
              </w:rPr>
              <w:t>Total 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(2,385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(4,636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(15.7</w:t>
            </w:r>
          </w:p>
        </w:tc>
        <w:tc>
          <w:tcPr>
            <w:tcW w:w="110" w:type="dxa"/>
            <w:tcBorders/>
            <w:shd w:fill="FFFFFF" w:val="clear"/>
            <w:vAlign w:val="center"/>
          </w:tcPr>
          <w:p>
            <w:pPr>
              <w:pStyle w:val="TableContents"/>
              <w:bidi w:val="0"/>
              <w:spacing w:before="0" w:after="283"/>
              <w:jc w:val="left"/>
              <w:rPr/>
            </w:pPr>
            <w:r>
              <w:rPr/>
              <w:t>)</w:t>
            </w:r>
          </w:p>
        </w:tc>
      </w:tr>
      <w:tr>
        <w:trPr/>
        <w:tc>
          <w:tcPr>
            <w:tcW w:w="4910" w:type="dxa"/>
            <w:tcBorders/>
            <w:shd w:fill="CCEEFF" w:val="clear"/>
            <w:vAlign w:val="center"/>
          </w:tcPr>
          <w:p>
            <w:pPr>
              <w:pStyle w:val="TableContents"/>
              <w:bidi w:val="0"/>
              <w:spacing w:before="0" w:after="283"/>
              <w:jc w:val="left"/>
              <w:rPr>
                <w:b/>
              </w:rPr>
            </w:pPr>
            <w:r>
              <w:rPr>
                <w:b/>
              </w:rPr>
              <w:t>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(11,011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(13,831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(46.7</w:t>
            </w:r>
          </w:p>
        </w:tc>
        <w:tc>
          <w:tcPr>
            <w:tcW w:w="110" w:type="dxa"/>
            <w:tcBorders/>
            <w:shd w:fill="CCEE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b/>
              </w:rPr>
            </w:pPr>
            <w:r>
              <w:rPr>
                <w:b/>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(11,011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(13,831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(46.7</w:t>
            </w:r>
          </w:p>
        </w:tc>
        <w:tc>
          <w:tcPr>
            <w:tcW w:w="110" w:type="dxa"/>
            <w:tcBorders/>
            <w:shd w:fill="CCEE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b/>
              </w:rPr>
            </w:pPr>
            <w:r>
              <w:rPr>
                <w:b/>
              </w:rPr>
              <w:t>Less: Preferred Stock Dividends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(2,226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rPr>
            </w:pPr>
            <w:r>
              <w:rPr>
                <w:b/>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(13,237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(57.9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(13,831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(46.7</w:t>
            </w:r>
          </w:p>
        </w:tc>
        <w:tc>
          <w:tcPr>
            <w:tcW w:w="110" w:type="dxa"/>
            <w:tcBorders/>
            <w:shd w:fill="CCEEFF" w:val="cle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1865"/>
        <w:gridCol w:w="60"/>
        <w:gridCol w:w="140"/>
        <w:gridCol w:w="680"/>
        <w:gridCol w:w="60"/>
        <w:gridCol w:w="60"/>
        <w:gridCol w:w="119"/>
        <w:gridCol w:w="1130"/>
        <w:gridCol w:w="60"/>
        <w:gridCol w:w="60"/>
        <w:gridCol w:w="140"/>
        <w:gridCol w:w="680"/>
        <w:gridCol w:w="60"/>
        <w:gridCol w:w="60"/>
        <w:gridCol w:w="119"/>
        <w:gridCol w:w="1130"/>
        <w:gridCol w:w="75"/>
      </w:tblGrid>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49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498" w:type="dxa"/>
            <w:gridSpan w:val="14"/>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both"/>
              <w:rPr/>
            </w:pPr>
            <w:r>
              <w:rPr/>
              <w:t>DTC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37.0</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both"/>
              <w:rPr/>
            </w:pPr>
            <w:r>
              <w:rPr/>
              <w:t>OEM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14,184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61.3</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both"/>
              <w:rPr/>
            </w:pPr>
            <w:r>
              <w:rPr/>
              <w:t>Licensing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1.7</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both"/>
              <w:rPr/>
            </w:pPr>
            <w:r>
              <w:rPr/>
              <w:t>Net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22,863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29,604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decreased by $6.7 million, or 22.8%, to $22.9 million for the six months ended June 30, 2026, as compared to $29.6 million for the six months ended June 30, 2025. This decrease was primarily due to lower OEM battery and accessory sales of new models to existing customers. The decrease in DTC sales was due to ongoing macroeconomic pressures, as well as negative third-party online commentary regarding certain of our products, which we believe has adversely affected customer sentiment. We have initiated legal proceedings to address this commentary. We expect our sales to increase in the coming quarters as our customers expand the number of models they include our battery systems in for the new model year and our entrance into new markets, trucking and industrials, with new product offerings.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decreased by $4.3 million, or 20.2%, to $16.8 million for the six months ended June 30, 2026, as compared to $21.1 million for the six months ended June 30, 2025. This decrease was primarily due to lower volume sales in DTC and OEM markets, as described above, along with the $1.1 million in IEEPA tariff refund recognized as a reduction to cost of sales and $0.5 million decrease in overhead allocated to cost of goods sold. We expect our Cost of goods sold to increase in conjunction with the anticipated increase in revenue over the next 12 months.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$2.5 million, or 29.1%, to $6.1 million for the six months ended June 30, 2026, as compared to $8.5 million for the six months ended June 30, 2025. The decrease in gross profit was primarily due to lower volume sales in the DTC and OEM markets, slightly offset by the IEEPA tariff refund recognized as a reduction to cost of sales.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$0.1 million, or 3.8%, to $1.6 million for the six months ended June 30, 2026, as compared to $1.7 million for the six months ended June 30, 2025. The decrease was primarily a result of lower wage expense in the amount of $0.4 million due to reduced headcount and less expense on supplies of $0.1 million, partially offset by an increase in depreciation expense of $0.4 million due to a depreciation true up at the beginning of the year. We expect research and development expenses to remain relatively stable over the next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$1.9 million, or 17.1%, to $9.1 million for the six months ended June 30, 2026, compared to $11.0 million for the six months ended June 30, 2025. This decrease was primarily due to a decrease in legal and professional services of $1.6 million, lower depreciation expense of $0.5 million and lower rent and other facility related costs in the amount of $0.6 million, partially offset by higher employee related costs in the amount of $0.6 million and higher insurance costs in the amount of $0.2 million. Looking forward, we anticipate that general and administrative expenses as a percentage of revenue will decrease over the next 12 months. This expectation is based on targeted cost reduction measures which have been implemented, including further reductions in professional fees, continued optimization of lease agreements, and ongoing evaluation of staffing levels.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decreased by $1.1 million, or 21.9%, to $4.0 million for the six months ended June 30, 2026, as compared to $5.1 million for the six months ended June 30, 2025. This decrease was primarily due to lower employee related costs in the amount of $0.4 million and lower marketing costs in the amount of $0.3 million, both related to cost reduction measures implemented in the second quarter, and lower shipping costs of $0.4 million related to lower sales. We expect our Selling and Marketing Expenses to decrease over the next 12 months due to cost reduction measures implemented in the second quarter of 2026.</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totaled $2.4 million for the six months ended June 30, 2026 as compared to other expense of $4.6 million for the six months ended June 30, 2025. Other expense for the six months ended June 30, 2026 is comprised of $3.0 million in interest expense related to our debt securities partially offset by a change in fair market value of our warrants in the amount of $0.5 million and other income of $0.1 million. Other expense for the six months ended June 30, 2025 is comprised of $10.1 million in interest expense related to our debt securities partially offset by a change in fair market value of our warrants in the amount of $5.5 million.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 Expense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tax expense recorded for the six months ended June 30, 2026 or the six months ended June 30, 2025.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$37.7 million was recorded as of the year ended December 31, 2025 and is unchanged as of June 30,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a net loss of $11.0 million for the six months ended June 30, 2026, as compared to net loss of $13.8 million for the six months ended June 30, 2025. As described above, this result was driven by lower sales and lower cost of goods sold, and significantly offset by lower interest expense related to our debt securities, recognizing the IEEPA tariff refunds as a cost reduction against cost of sales, and savings from our cost reduction measures implemented in the second quarter.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condensed consolidated financial statements have been prepared in accordance with accounting principles generally accepted in the United States. The preparation of these condensed consolidated financial statements requires us to make judgments and estimates that affect the reported amounts of assets, liabilities, revenues and expenses, and the disclosure of contingent assets and liabilities. We base our estimates on historical experience, known trends and events, and other factors we believe to be reasonable under the circumstances. These estimates form the basis for judgments about the carrying values of assets and liabilities that are not readily apparent from other sources, and actual results may differ from these estimates under different assumptions or conditions. On a recurring basis, we evaluate our judgments and estimates in light of changes in circumstances, facts, and experience. The effects of material revisions in an estimate, if any, are reflected in the consolidated financial statements prospectively from the date of the change in the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(1) the accounting estimate requires us to make assumptions about matters that involve a significant degree of estimation uncertainty at the time the estimate is made; and (2) changes in the estimate that are reasonably likely to occur from period to period, or the use of different estimates that we reasonably could have used in the current period, would have a material impact on our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discussed the development and selection of these critical accounting estimates with the Audit Committee of our board of directors. In addition to the estimates described below, there are other items within our financial statements that require estimation, but that we do not consider critical under the definition above. Changes in estimates used in these and other items could have a material impact on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estimates are the most critical to the judgments and assumptions used in the preparation of our financial statements because they involve significant estimation uncertainty and have had, or are reasonably likely to have, a material impact on our financial condition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 Valuation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reserves for excess and obsolete inventory and for inventory that is carried at amounts in excess of its estimated realizable value. These reserves are inherently judgmental and involve significant estimates regarding expected future demand, product life cycles, pricing, and the recoverability of costs through future sales. In estimating these reserves, we consider factors such as recent sales experience, forecasted demand, the aging of inventories and specific identification of items that may be obsolete or slow-moving.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these assumptions, including adverse changes in customer demand, technological developments, or pricing pressures, could result in materially different reserve levels and related cost of goods sold in future periods. For example, a decrease in expected demand or sales prices, or an increase in the aging of inventory, could require us to increase our reserves, which would negatively affect our gross margin. Conversely, if actual demand is higher than currently estimated, our reserves could prove to be overstated, resulting in lower cost of goods sold in future periods.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issue warrants to purchase our common stock in connection with certain financing and other transactions. We apply the relevant guidance in ASC 480 and ASC 815 in determining whether warrants should be classified as liabilities or equity. Warrants that are classified as liabilities are initially recorded at fair value and remeasured at fair value at each reporting date, with changes in fair value recognized in earnings.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liability-classified warrants involves significant judgment, as it is based on valuation models that incorporate various inputs, including our common stock price, expected stock price volatility, expected term, risk-free interest rates and, as applicable, other market-based or contractual features. These inputs are subject to estimation uncertainty and can change over time in response to our operating performance, changes in our capital structure, market conditions or other factors.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changes in these inputs directly affect the fair value of the warrants, they can result in material volatility in our reported earnings from period to period. For example, an increase in the price or volatility of our common stock generally increases the fair value of liability-classified warrants and may result in a loss recognized in our statement of operations, whereas decreases in stock price or volatility may result in a gain.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Deferred tax assets and liabilities are recognized for the future tax consequences of temporary differences between the carrying amounts and tax bases of assets and liabilities and for operating loss and tax credit carryforwards. We measure deferred tax assets and liabilities using enacted tax rates expected to apply to taxable income in the years in which those temporary differences are expected to be recovered or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financial statement effect of an uncertain tax position when it is more likely than not, based on the technical merits, that the position will be sustained upon examination. Recognized tax positions are measured at the largest amount of benefit that has a greater than 50% likelihood of being realized upon ultimate settlement. We also establish a valuation allowance to reduce deferred tax assets to an amount that is more likely than not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assessment of the realizability of deferred tax assets and the recognition and measurement of uncertain tax positions involve significant judgment and estimation, including projections of future taxable income, the timing and character of that income, the reversal of existing temporary differences, the outcome of tax examinations and the interpretation of tax laws and regulations in multiple jurisdictions. Our projections of future taxable income are inherently uncertain and subject to change due to changes in our business, our industry, and the overall economic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actual results differ from our estimates, or if we adjust our estimates in future periods, we may need to increase or decrease our valuation allowance or adjust our uncertain tax positions, which could have a material impact on our effective tax rate, income tax expense and results of operations. For example, evidence of sustained profitability in one or more jurisdictions could result in a reduction of the valuation allowance and a related decrease in income tax expense, whereas evidence of sustained losses or unfavorable changes in tax law could result in an increase in the valuation allowance and higher income tax expense.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right-of-use assets and lease liabilities for our operating leases based on the present value of lease payments over the expected lease term. Because our leases generally do not provide an implicit rate, we estimate an incremental borrowing rate to determine the present value of lease payments. Our incremental borrowing rate is derived from market data, including current borrowing rates available to us for similar terms and collateral, as well as broader market interest rate information. We also make judgments regarding the lease term, including renewal and termination options, when it is reasonably certain that such options will be exercised.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estimates are subjective and can significantly affect the measurement of our right-of-use assets, lease liabilities and related lease cost recognized in the statement of operations. Changes in our assessment of the incremental borrowing rate, or our expectations about exercising renewal or termination options, could result in material changes to the recorded lease liabilities and right-of-use assets and affect the pattern of lease expense recognition over time.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Arrangement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license arrangements under which we receive upfront compensation. We recognize this compensation as revenue over a five-year period, which we believe reflects the pattern in which control of the licensed rights and related services is transferred and the period over which we expect to realize the economic benefits of the arrangement.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the appropriate recognition pattern involves significant judgment, including our assessment of the nature and timing of performance obligations, the expected duration and level of customer engagement, and the likelihood of renewal or modification of the arrangement. These factors are inherently uncertain and may change over time as we gain more experience with the arrangements or as customer behavior evolves.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expectations regarding the timing or amount of the benefits to be provided under these arrangements change, or if we modify or renew the arrangements on terms different from those originally anticipated, we may be required to adjust the recognition pattern, which could result in a material increase or decrease in revenue in one or more reporting periods.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includes a non-generally accepted accounting principles within the United States (“U.S. GAAP”) measure that we use to supplement our results presented in accordance with U.S. GAAP. Earnings before interest tax and amortization (“EBITDA”) is defined as earnings before interest and other income (expenses), income taxes, and depreciation and amortization. Adjusted EBITDA is calculated as EBITDA adjusted for stock-based compensation, change in fair market value of warrant liabilities, non-recurring costs associated with strategic financing, reverse stock split, litigation and loss on settlement. Adjusted EBITDA is a performance measure that we believe is useful to investors and analysts because it illustrates the underlying financial and business trends relating to our core, recurring results of operations and enhances comparability between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our adjusted EBITDA, reconciled to net loss for the three and six months ended June 30, 2026, and June 30, 2025.</w:t>
      </w:r>
    </w:p>
    <w:p>
      <w:pPr>
        <w:pStyle w:val="TextBody"/>
        <w:bidi w:val="0"/>
        <w:spacing w:before="0" w:after="0"/>
        <w:ind w:left="0" w:right="0" w:hanging="0"/>
        <w:jc w:val="both"/>
        <w:rPr>
          <w:caps w:val="false"/>
          <w:smallCaps w:val="false"/>
        </w:rPr>
      </w:pPr>
      <w:r>
        <w:rPr>
          <w:caps w:val="false"/>
          <w:smallCaps w:val="false"/>
        </w:rPr>
        <w:t> </w:t>
      </w:r>
    </w:p>
    <w:tbl>
      <w:tblPr>
        <w:tblW w:w="9230" w:type="dxa"/>
        <w:jc w:val="left"/>
        <w:tblInd w:w="0" w:type="dxa"/>
        <w:tblLayout w:type="fixed"/>
        <w:tblCellMar>
          <w:top w:w="0" w:type="dxa"/>
          <w:left w:w="0" w:type="dxa"/>
          <w:bottom w:w="0" w:type="dxa"/>
          <w:right w:w="0" w:type="dxa"/>
        </w:tblCellMar>
      </w:tblPr>
      <w:tblGrid>
        <w:gridCol w:w="4220"/>
        <w:gridCol w:w="60"/>
        <w:gridCol w:w="209"/>
        <w:gridCol w:w="913"/>
        <w:gridCol w:w="134"/>
        <w:gridCol w:w="100"/>
        <w:gridCol w:w="209"/>
        <w:gridCol w:w="913"/>
        <w:gridCol w:w="80"/>
        <w:gridCol w:w="60"/>
        <w:gridCol w:w="165"/>
        <w:gridCol w:w="861"/>
        <w:gridCol w:w="106"/>
        <w:gridCol w:w="79"/>
        <w:gridCol w:w="165"/>
        <w:gridCol w:w="861"/>
        <w:gridCol w:w="95"/>
      </w:tblGrid>
      <w:tr>
        <w:trPr/>
        <w:tc>
          <w:tcPr>
            <w:tcW w:w="42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7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Three months ended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3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Six months ended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w:t>
            </w:r>
          </w:p>
        </w:tc>
        <w:tc>
          <w:tcPr>
            <w:tcW w:w="134" w:type="dxa"/>
            <w:tcBorders/>
            <w:vAlign w:val="center"/>
          </w:tcPr>
          <w:p>
            <w:pPr>
              <w:pStyle w:val="TableContents"/>
              <w:bidi w:val="0"/>
              <w:spacing w:before="0" w:after="283"/>
              <w:jc w:val="center"/>
              <w:rPr>
                <w:caps w:val="false"/>
                <w:smallCaps w:val="false"/>
              </w:rPr>
            </w:pPr>
            <w:r>
              <w:rPr>
                <w:caps w:val="false"/>
                <w:smallCaps w:val="false"/>
              </w:rPr>
              <w:t> </w:t>
            </w:r>
          </w:p>
        </w:tc>
        <w:tc>
          <w:tcPr>
            <w:tcW w:w="100" w:type="dxa"/>
            <w:tcBorders/>
            <w:vAlign w:val="center"/>
          </w:tcPr>
          <w:p>
            <w:pPr>
              <w:pStyle w:val="TableContents"/>
              <w:bidi w:val="0"/>
              <w:spacing w:before="0" w:after="283"/>
              <w:jc w:val="center"/>
              <w:rPr>
                <w:caps w:val="false"/>
                <w:smallCaps w:val="false"/>
              </w:rPr>
            </w:pPr>
            <w:r>
              <w:rPr>
                <w:caps w:val="false"/>
                <w:smallCaps w:val="false"/>
              </w:rPr>
              <w:t> </w:t>
            </w:r>
          </w:p>
        </w:tc>
        <w:tc>
          <w:tcPr>
            <w:tcW w:w="1122"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2025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2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w:t>
            </w:r>
          </w:p>
        </w:tc>
        <w:tc>
          <w:tcPr>
            <w:tcW w:w="106" w:type="dxa"/>
            <w:tcBorders/>
            <w:vAlign w:val="center"/>
          </w:tcPr>
          <w:p>
            <w:pPr>
              <w:pStyle w:val="TableContents"/>
              <w:bidi w:val="0"/>
              <w:spacing w:before="0" w:after="283"/>
              <w:jc w:val="center"/>
              <w:rPr>
                <w:caps w:val="false"/>
                <w:smallCaps w:val="false"/>
              </w:rPr>
            </w:pPr>
            <w:r>
              <w:rPr>
                <w:caps w:val="false"/>
                <w:smallCaps w:val="false"/>
              </w:rPr>
              <w:t> </w:t>
            </w:r>
          </w:p>
        </w:tc>
        <w:tc>
          <w:tcPr>
            <w:tcW w:w="79" w:type="dxa"/>
            <w:tcBorders/>
            <w:vAlign w:val="center"/>
          </w:tcPr>
          <w:p>
            <w:pPr>
              <w:pStyle w:val="TableContents"/>
              <w:bidi w:val="0"/>
              <w:spacing w:before="0" w:after="283"/>
              <w:jc w:val="center"/>
              <w:rPr>
                <w:caps w:val="false"/>
                <w:smallCaps w:val="false"/>
              </w:rPr>
            </w:pPr>
            <w:r>
              <w:rPr>
                <w:caps w:val="false"/>
                <w:smallCaps w:val="false"/>
              </w:rPr>
              <w:t> </w:t>
            </w:r>
          </w:p>
        </w:tc>
        <w:tc>
          <w:tcPr>
            <w:tcW w:w="1026"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37"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Shareholders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(5,517</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(13,237</w:t>
            </w:r>
          </w:p>
        </w:tc>
        <w:tc>
          <w:tcPr>
            <w:tcW w:w="1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(13,831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1,536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3,001</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453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1,247</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(3,528</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(8,989)</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for: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Stock-Based Compensation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461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561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in fair market value of warrant liability </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Preferred Stock Dividend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Non-Recurring/One-Time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Litigation Expenses </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At-the-Market (ATM) set up Expenses</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Impairment of Asset</w:t>
            </w:r>
            <w:r>
              <w:rPr>
                <w:rFonts w:ascii="Times New Roman;Times;Serif" w:hAnsi="Times New Roman;Times;Serif"/>
                <w:b w:val="false"/>
                <w:i w:val="false"/>
                <w:caps w:val="false"/>
                <w:smallCaps w:val="false"/>
                <w:position w:val="7"/>
                <w:sz w:val="16"/>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Venture Exploration</w:t>
            </w:r>
            <w:r>
              <w:rPr>
                <w:rFonts w:ascii="Times New Roman;Times;Serif" w:hAnsi="Times New Roman;Times;Serif"/>
                <w:b w:val="false"/>
                <w:i w:val="false"/>
                <w:caps w:val="false"/>
                <w:smallCaps w:val="false"/>
                <w:position w:val="7"/>
                <w:sz w:val="16"/>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related to Debt Restructure</w:t>
            </w:r>
            <w:r>
              <w:rPr>
                <w:rFonts w:ascii="Times New Roman;Times;Serif" w:hAnsi="Times New Roman;Times;Serif"/>
                <w:b w:val="false"/>
                <w:i w:val="false"/>
                <w:caps w:val="false"/>
                <w:smallCaps w:val="false"/>
                <w:position w:val="7"/>
                <w:sz w:val="16"/>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year tariff estimate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Financing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Stock Split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(1,581</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(6,133</w:t>
            </w:r>
          </w:p>
        </w:tc>
        <w:tc>
          <w:tcPr>
            <w:tcW w:w="1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is comprised of costs associated with option and RSU grants made to our employees, consultants and board members.</w:t>
            </w:r>
          </w:p>
        </w:tc>
      </w:tr>
      <w:tr>
        <w:trPr/>
        <w:tc>
          <w:tcPr>
            <w:tcW w:w="2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liabilities represents the change in fair value for the three and six months ended June 30, 2026 and June 30, 2025.</w:t>
            </w:r>
          </w:p>
        </w:tc>
      </w:tr>
      <w:tr>
        <w:trPr/>
        <w:tc>
          <w:tcPr>
            <w:tcW w:w="2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2026, Litigation Fees includes fees and expenses related to the Berdner et al case and the Prowse case. In 2025, Litigation Fees includes legal fees and expenses and settlement related to the International Trade Commission ‘ITC’ Lithium Hub patent infringement case and other.</w:t>
            </w:r>
          </w:p>
        </w:tc>
      </w:tr>
      <w:tr>
        <w:trPr/>
        <w:tc>
          <w:tcPr>
            <w:tcW w:w="2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At-the-Market (ATM) set up expenses are for the equity distribution agreement with Canaccord Genuity, LLC.</w:t>
            </w:r>
          </w:p>
        </w:tc>
      </w:tr>
      <w:tr>
        <w:trPr/>
        <w:tc>
          <w:tcPr>
            <w:tcW w:w="2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Impairment of Asset is costs related to the prior year impairment of our previous main office.</w:t>
            </w:r>
          </w:p>
        </w:tc>
      </w:tr>
      <w:tr>
        <w:trPr/>
        <w:tc>
          <w:tcPr>
            <w:tcW w:w="2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Joint Venture Exploration expenses includes advisory fees, feasibility study expenses and travel. </w:t>
            </w:r>
          </w:p>
        </w:tc>
      </w:tr>
      <w:tr>
        <w:trPr/>
        <w:tc>
          <w:tcPr>
            <w:tcW w:w="2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Restructure expenses including legal and professional service.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June 30, 2026, we had cash totaling $6.3 million. We believe that our cash balance as of June 30, 2026, combined with our access to the ATM, will fund our operations into the second quarter of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we entered into the Equity Distribution Agreement with Canaccord under which we may offer and sell, from time to time, shares of our common stock through an ATM for up to $50.0 million in gross proceeds, as described in the “</w:t>
      </w:r>
      <w:r>
        <w:rPr>
          <w:rFonts w:ascii="Times New Roman;Times;Serif" w:hAnsi="Times New Roman;Times;Serif"/>
          <w:b w:val="false"/>
          <w:i/>
          <w:caps w:val="false"/>
          <w:smallCaps w:val="false"/>
          <w:sz w:val="20"/>
        </w:rPr>
        <w:t>Overview</w:t>
      </w:r>
      <w:r>
        <w:rPr>
          <w:rFonts w:ascii="Times New Roman;Times;Serif" w:hAnsi="Times New Roman;Times;Serif"/>
          <w:b w:val="false"/>
          <w:i w:val="false"/>
          <w:caps w:val="false"/>
          <w:smallCaps w:val="false"/>
          <w:sz w:val="20"/>
        </w:rPr>
        <w:t>” section above. During the three months ended June 30, 2026, we sold 411,100 shares of common stock pursuant to the ATM for net proceeds of approximately $0.8 million, after deducting sales agent commissions. Subsequent to June 30, 2026, we have sold 124,975 shares of common stock for aggregate net proceeds of $148,317.</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million cash payment associated with the acquisition of Dakota Lithium assets was facilitated by the reduction of our minimum cash covenant from $5.0 million to $4.0 million as part of the Term Loan Lenders’s consent provided for in the Seventh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need to raise additional funds, including through the use of the ATM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reduce operations, sell off our assets, seek the protection of bankruptcy courts or shut down our operations and dissolve. Further, any future debt or equity financings may be dilutive to our current stockholders.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Obligations and Requirements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we issued $45.0 million of fixed rate senior notes, secured by among other things, a security interest in our intellectual property. As part of the Business Combination, we entered into a senior secured term loan facility in an aggregate principal amount of $75 million (the “Term Loan”) pursuant to the Term Loan, Guarantee and Security Agreement (the “Original Term Loan Agreement” and, as amended, the “Term Loan Agreement”) by and among, us, Legacy Dragonfly, Alter Domus (US) LLC, as the Agent to the lenders from time to time party thereto (such lenders, the “Term Loan Lenders”), the proceeds of which were used to repay the $45.0 million fixed rate senior notes, and 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the “</w:t>
      </w:r>
      <w:r>
        <w:rPr>
          <w:rFonts w:ascii="Times New Roman;Times;Serif" w:hAnsi="Times New Roman;Times;Serif"/>
          <w:b w:val="false"/>
          <w:i/>
          <w:caps w:val="false"/>
          <w:smallCaps w:val="false"/>
          <w:sz w:val="20"/>
        </w:rPr>
        <w:t xml:space="preserve">Overview” </w:t>
      </w:r>
      <w:r>
        <w:rPr>
          <w:rFonts w:ascii="Times New Roman;Times;Serif" w:hAnsi="Times New Roman;Times;Serif"/>
          <w:b w:val="false"/>
          <w:i w:val="false"/>
          <w:caps w:val="false"/>
          <w:smallCaps w:val="false"/>
          <w:sz w:val="20"/>
        </w:rPr>
        <w:t>section above, under the Sixth Amendment, we (i) prepaid $45.0 million of principal using proceeds from the Second October 2025 Offering, (ii) exchanged $25.0 million of principal for redeemable Series B Preferred Stock (convertible at $31.50 per share, with 8% cash and 2% “in kind” dividends), which is redeemable in October 2027 unless otherwise converted by the holder, and (iii) had $5.0 million of principal forgiven by the Term Loan Lenders. Following these transactions, approximately $19.4 million of principal remained outstanding under the Term Loan, bearing 12% interest payable monthly and maturing in October 2027. We paid $0.9 million in fees (half in cash, half added to principal) and obtained covenant waivers through December 2026, subject to maintaining $5.0 million of minimum liquidity.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Sixth Amendment significantly improved our liquidity by reducing total debt from $93.1 million to approximately $19.4 million and deferring near-term cash interest requirements through the preferred stock exchange and covenant waivers.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under the Seventh Amendment, among other things, (i) the Term Loan Lenders consented to the asset acquisition described above, (ii) the interest rate was modified to 14.0% per annum (from 12.0%), with all interest payable-in-kind through December 31, 2026, (iii) the commencement date for testing the maximum senior leverage ratio and fixed charge coverage ratio covenants was extended from March 31, 2027 to September 30, 2027, and (iv) the minimum liquidity covenant was modified to require minimum liquidity of $4.0 million from August 31, 2026 through January 31, 2027, and $5.0 million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proceeds were used to: (i) support the Business Combination, (ii) prepay the fixed rate senior notes at closing of the Business Combination, (iii) pay fees and expenses in connection with the foregoing, (iv) to provide additional growth capital and (v) for other general/corporate purposes. The Term Loan will mature on October 7, 2027,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In accordance with U.S. GAAP, we reclassified our notes payable from a long-term liability to a current liability. The Term Loan accrues interest as follows: (i) until April 1, 2024, at a per annum rate equal to adjusted secured overnight financing rate (“SOFR”) plus 7% payable in cash plus an amount ranging from 4.5% to 6.5%, depending on our senior leverage ratio; (ii) effective April 1, 2024 and thereafter, interest payable to certain lenders subject to regulations of the U.S. Small Business Administration (“SBA”) with outstanding principal on that date of $30,846 will be limited to 14.0% per annum (except for default interest permitted under SBA regulations, as applicable); and (iii) the other outstanding principal will accrue interest from April 1, 2024 thereafter until October 1, 2024, at a per annum rate equal to adjusted SOFR plus 7% payable in cash plus an amount ranging from 4.5% to 6.5%, depending on the senior leverage ratio of the consolidated company, and at all times thereafter, at a per annum rate equal to adjusted SOFR plus a margin ranging from 11.5% to 13.5%, depending on our senior leverage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is secured by substantially all assets of the Company, Battle Born LLC and Legacy Dragonfly, and we pledged our equity interests in Battle Born LLC and Legacy Dragonfly as additional collateral. In connection with the Business Combination, the Term Loan Lenders also received penny warrants and $10 warrants. The $10 warrants were exercised in full on October 10, 2022. During the quarter ended March 31, 2026, 70,267 penny warrants were exercised on a cashless basis, with the Company agreeing to issue 69,985 shares of common stock in connection with such exercise. During the quarter ended June 30, 2026, the remaining outstanding penny warrants were exercised in full on a cashless basis, resulting in the issuance of 103,390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identified an underpayment of tariffs to U.S. Customs and Border Protection (“CBP”) in the amount of approximately $1.66 million in the aggregate, related to the improper classification and valuation of certain of the products used in our batteries. We have reported the underpayment to CBP. In June 2025, after a comprehensive review of this tariff calculation, an additional $0.29 million was discovered and also reported to CBP and a payment plan of $0.05 million per week was put into place. As of March 31, 2026, the entire balance of the reported tariff underpayment has been paid in full; however, we have recorded an estimated liability of approximately $0.3 million on our balance sheet related to interest that may have accrued on the underpayment. The amount and timing of any such interest obligation have not yet been confirmed by CBP, and the actual amount payable, if any, may differ from the current estimate.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 ended June 30, 2026, we incurred losses and had a negative cash flow from operations. As of June 30, 2026, we had approximately $6.3 million in cash and cash equivalents and a working capital of $19.9 million. Our ability to achieve profitability and positive cash flow depends on our ability to increase revenue, contain our expenses and maintain compliance with the financial covenants in our outstanding indebtedness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the Term Loan was amended to (i) extend the maturity date by one (1) year to October 2027, (ii) defer all principal and interest payments to April 2026 and (iii) remove any applicable financial covenants (except for a financial covenant requiring us to maintain cash and cash equivalents equal to or greater than $2,500) through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investors received warrants to purchase up to 4,000 shares of Series A Preferred Stock at $10,000 per share, potentially providing up to $40 million in future capital, however, these warrants were cancelled on June 23,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2025, we received proceeds of $5,495 less $811 in costs, which we have been using for working capital and other general corporate purposes, including the repayment of indebtedness in the ordinary course. Investors received an aggregate of 2,198,000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2025, we received proceeds of $26,925, net of costs, in connection with the issuance of 2,300,000 shares of common stock and option to purchase 300,000 shares of common stock. On October 17, 2025, we received additional proceeds of $51,928, net of costs, from the issuance of 3,600,000 shares of common stock and 500,000 pre-funded warrants to purchase shares of common stock. We used the aggregate net proceeds for working capital and other general corporate purposes, including the repayment of indebtedness in the ordinary course of business. Additionally, on October 20, 2025, the Term Loan was restructured and we entered into the Sixth Amendment (the “Sixth Amendment”) with the Term Loan lenders, which included new interest payment terms, $45,000 prepayment in October, and $5,000 debt cancellation. Lastly, as part of the restructuring, on November 4, 2025, we and the lenders entered into an exchange agreement (the “Exchange Agreement”) pursuant to which we issued 25,000 shares of Series B Preferred Stock in exchange for $25,000 outstanding principal amount of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we entered into an Equity Distribution Agreement with Canaccord Genuity LLC, as lead agent and representative of the other sales agents, establishing an at-the-market equity offering program under which we may, at our discretion, offer and sell from time to time up to $50 million of our common stock. While we are not obligated to issue any shares under the agreement and retain full control over the timing, amount, pricing, and terms of any sales effected through the lead agent, this agreement provides us with a flexible, readily accessible source of capital to support our liquidity needs, subject to customary closing conditions, a 3% sales commission and reimbursement of specified expenses payable to the agents, and standard indemnification and contribution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June 30, 2026, we entered into the Seventh Amendment to the Term Loan in connection with the Asset Purchase Agreement, as described above in the </w:t>
      </w:r>
      <w:r>
        <w:rPr>
          <w:rFonts w:ascii="Times New Roman;Times;Serif" w:hAnsi="Times New Roman;Times;Serif"/>
          <w:b w:val="false"/>
          <w:i/>
          <w:caps w:val="false"/>
          <w:smallCaps w:val="false"/>
          <w:sz w:val="20"/>
        </w:rPr>
        <w:t>Overview</w:t>
      </w:r>
      <w:r>
        <w:rPr>
          <w:rFonts w:ascii="Times New Roman;Times;Serif" w:hAnsi="Times New Roman;Times;Serif"/>
          <w:b w:val="false"/>
          <w:i w:val="false"/>
          <w:caps w:val="false"/>
          <w:smallCaps w:val="false"/>
          <w:sz w:val="20"/>
        </w:rPr>
        <w:t xml:space="preserve"> section. The Seventh Amendment provides additional near-term liquidity flexibility by establishing a payment-in-kind period through December 31, 2026, during which interest accrues at 14% per annum and may be satisfied entirely in kind rather than in cash. The Seventh Amendment also reduces the minimum liquidity requirement to $4 million at each month-end from August 31, 2026 through January 31, 2027, after which the minimum liquidity requirement increases to $5 million, and defers the commencement of the maximum senior leverage ratio and fixed charge coverage ratio covenants to the quarter ending September 30, 2027 (from March 31, 2027). Commencing with the fiscal quarter ending September 30, 2027, the maximum senior leverage ratio is 3.00:1.00, and a minimum fixed charge coverage ratio of 1.15:1.00 is required for the trailing four fiscal quarters if liquidity is below $15 million at quarter-end. Additionally, the Company expects to see material revenue generated in the fourth quarter of 2026 from the Asset Acquisition. The Company also expects incremental operating cost increases in order to restore Dakota Lithium’s commercial operations ahead of its expected revenue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presented above, strategic initiatives were executed in 2025 and early 2026 in order to alleviate the substantial doubt regarding our ability to continue as a going concern. These initiatives include multiple capital raises totaling a net cash increase of $90.9 million and Term Loan restructuring to reduce principal and interest owed, including a significant principal paydown, partial debt cancellation, and partial principal conversion into preferred shares, along with the at-the-market equity offering program entered into January 2026. Management has evaluated the conditions and events described above in relation to our obligations coming due within one year after the date these condensed consolidated financial statements are issued. In performing this evaluation, management considered the Company’s projected operating performance and cash flows, available cash and liquidity, planned cost reductions, expected revenue-generating activities, access to the at-the-market equity offering program, and the additional liquidity flexibility provided by the Seventh Amendment, including the ability to pay interest in kind through December 31, 2026 and the modification and deferral of certain financial covenant requirements. Based on this evaluation, management expects the Company to achieve profitability and generate positive cash flows from operations within the next twelve months and has concluded that the Company is expected to have sufficient liquidity to meet its obligations as they become due over the next twelve months. Accordingly, management has concluded that although substantial doubt was initially raised, its plans have alleviated substantial doubt about the Company’s ability to continue as a going concern within one year after the date these condensed consolidated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need to raise additional debt and/or equity financing to fund our operations, strategic plans, meet our financial covenants under the Term Loan and our redemption obligations under the Series B Preferred Stock and repay our outstanding indebtedness under the Term Loan. We have historically been able to raise additional capital through issuance of equity and/or debt financing and we intend to raise additional capital as needed. However, we cannot guarantee that we will be able to raise additional equity, contain expenses, or increase revenue, and comply with the financial covenants under the Term Loan.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Six months ended June 30, 2026, and June 30, 2025</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966" w:type="dxa"/>
        <w:jc w:val="left"/>
        <w:tblInd w:w="0" w:type="dxa"/>
        <w:tblLayout w:type="fixed"/>
        <w:tblCellMar>
          <w:top w:w="0" w:type="dxa"/>
          <w:left w:w="0" w:type="dxa"/>
          <w:bottom w:w="0" w:type="dxa"/>
          <w:right w:w="0" w:type="dxa"/>
        </w:tblCellMar>
      </w:tblPr>
      <w:tblGrid>
        <w:gridCol w:w="3065"/>
        <w:gridCol w:w="60"/>
        <w:gridCol w:w="209"/>
        <w:gridCol w:w="1131"/>
        <w:gridCol w:w="142"/>
        <w:gridCol w:w="89"/>
        <w:gridCol w:w="209"/>
        <w:gridCol w:w="951"/>
        <w:gridCol w:w="110"/>
      </w:tblGrid>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31"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both"/>
              <w:rPr/>
            </w:pPr>
            <w:r>
              <w:rPr/>
              <w:t>Net Cash (used in)/provided by:</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both"/>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131" w:type="dxa"/>
            <w:tcBorders/>
            <w:shd w:fill="FFFFFF" w:val="clear"/>
            <w:vAlign w:val="center"/>
          </w:tcPr>
          <w:p>
            <w:pPr>
              <w:pStyle w:val="TableContents"/>
              <w:bidi w:val="0"/>
              <w:spacing w:before="0" w:after="283"/>
              <w:jc w:val="right"/>
              <w:rPr/>
            </w:pPr>
            <w:r>
              <w:rPr/>
              <w:t>(10,641</w:t>
            </w:r>
          </w:p>
        </w:tc>
        <w:tc>
          <w:tcPr>
            <w:tcW w:w="142"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951" w:type="dxa"/>
            <w:tcBorders/>
            <w:shd w:fill="FFFFFF" w:val="clear"/>
            <w:vAlign w:val="center"/>
          </w:tcPr>
          <w:p>
            <w:pPr>
              <w:pStyle w:val="TableContents"/>
              <w:bidi w:val="0"/>
              <w:spacing w:before="0" w:after="283"/>
              <w:jc w:val="right"/>
              <w:rPr/>
            </w:pPr>
            <w:r>
              <w:rPr/>
              <w:t>(7,865</w:t>
            </w:r>
          </w:p>
        </w:tc>
        <w:tc>
          <w:tcPr>
            <w:tcW w:w="110" w:type="dxa"/>
            <w:tcBorders/>
            <w:shd w:fill="FFFFFF" w:val="clear"/>
            <w:vAlign w:val="center"/>
          </w:tcPr>
          <w:p>
            <w:pPr>
              <w:pStyle w:val="TableContents"/>
              <w:bidi w:val="0"/>
              <w:spacing w:before="0" w:after="283"/>
              <w:jc w:val="left"/>
              <w:rPr/>
            </w:pPr>
            <w:r>
              <w:rPr/>
              <w:t>)</w:t>
            </w:r>
          </w:p>
        </w:tc>
      </w:tr>
      <w:tr>
        <w:trPr/>
        <w:tc>
          <w:tcPr>
            <w:tcW w:w="3065" w:type="dxa"/>
            <w:tcBorders/>
            <w:shd w:fill="CCEEFF" w:val="clear"/>
            <w:vAlign w:val="center"/>
          </w:tcPr>
          <w:p>
            <w:pPr>
              <w:pStyle w:val="TableContents"/>
              <w:bidi w:val="0"/>
              <w:spacing w:before="0" w:after="283"/>
              <w:jc w:val="both"/>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(771</w:t>
            </w:r>
          </w:p>
        </w:tc>
        <w:tc>
          <w:tcPr>
            <w:tcW w:w="142"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(1,621</w:t>
            </w:r>
          </w:p>
        </w:tc>
        <w:tc>
          <w:tcPr>
            <w:tcW w:w="11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both"/>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131" w:type="dxa"/>
            <w:tcBorders/>
            <w:shd w:fill="FFFFFF" w:val="clear"/>
            <w:vAlign w:val="center"/>
          </w:tcPr>
          <w:p>
            <w:pPr>
              <w:pStyle w:val="TableContents"/>
              <w:bidi w:val="0"/>
              <w:spacing w:before="0" w:after="283"/>
              <w:jc w:val="right"/>
              <w:rPr/>
            </w:pPr>
            <w:r>
              <w:rPr/>
              <w:t>(578</w:t>
            </w:r>
          </w:p>
        </w:tc>
        <w:tc>
          <w:tcPr>
            <w:tcW w:w="142"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951" w:type="dxa"/>
            <w:tcBorders/>
            <w:shd w:fill="FFFFFF" w:val="clear"/>
            <w:vAlign w:val="center"/>
          </w:tcPr>
          <w:p>
            <w:pPr>
              <w:pStyle w:val="TableContents"/>
              <w:bidi w:val="0"/>
              <w:spacing w:before="0" w:after="283"/>
              <w:jc w:val="right"/>
              <w:rPr/>
            </w:pPr>
            <w:r>
              <w:rPr/>
              <w:t>7,370</w:t>
            </w:r>
          </w:p>
        </w:tc>
        <w:tc>
          <w:tcPr>
            <w:tcW w:w="11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$10.6 million for the six months ended June 30, 2026, primarily due to a net loss of $11.0 million with a slight offset of $0.4 million primarily due to the following changes: $4.6 million decrease in accounts payable, $3.9 million increase in inventories, $0.7 million increase in accounts receivable, and $0.3 million increase in prepaid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$7.9 million for the six months ended June 30, 2025, primarily due to a net loss of $13.8 million partially offset by $7.3 million of payment in-kind interest accrued on the Term Loan.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$0.8 million for the six months ended June 30, 2026, as compared to net cash used in investing activities of $1.6 million for the six months ended June 30, 2025. The cash used for the six months ended June 30, 2026 was primarily for payments for the new Battleborn website, along with improvements to the battery production area and renovations to the research and development location. The cash used for the six months ended June 30, 2025 was primarily from capital expenses to support our core battery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financing activities was $0.6 million for the six months ended June 30, 2026, primarily related to Series B preferred stock dividend payments and repayment of debt, partially offset by proceeds from the ATM, as compared to net cash provided by financing activities of $7.4 million for the six months ended June 30, 2025, primarily related to net proceeds of $7.3 million from the Offerings on February 26,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estimated future obligations consist of short-term and long-term operating and financing lease liabilities. As of June 30, 2026, we had $2.4 million in short-term operating and financing lease liabilities and $19.4 million in long-term operating and financing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above, we have a Term Loan and as of June 30, 2026, the principal amount outstanding under the Term Loan was $18.9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required to pay to the holders of the Series B Preferred Stock dividends, which will accrue at 10% per annum, commencing from the Initial Issuance Date, payable (i) 80% in cash and (ii) 20% “in kind” and added the Liquidation Preference of such holder’s Series B Preferred Stock. Such dividends are payable quarterly in arrears on the first trading day of each fiscal quarter commencing on the first trading day of the initial fiscal quarter after the date of issuance. Upon the occurrence of certain events, the dividend rate may automatically increase, as described in the Certificate of Designation. Additionally, in connection with any future equity offerings, we are required to use 50% of the net proceeds from such offering to redeem outstanding shares of the Series B Preferred Stock at the Optional Redemption Price. In the event we have not redeemed the outstanding shares of Series B Preferred Stock by October 7, 2027 or upon the occurrence of a Non-Payment Event (as defined in the Certificate of Designation), the holders will have the right to require us to redeem the Series B Preferred Stock at the Optional Redemption Price.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Chardan Capital Markets LLC, a New York limited liability company (“CCM LLC”) entered into a purchase agreement (as amended, the “ChEF Purchase Agreement”) and a Registration Rights Agreement in connection with our merger in October 2022 (the “Business Combination”). Pursuant to the Original Purchase Agreement, we had the right to sell to CCM LLC an amount of shares of common stock, up to a maximum aggregate purchase price of $150 million, pursuant to the terms of the ChEF Purchase Agreement (the “ChEF Equity Facility”), subject to certain restrictions set forth in the Term Loan Agreement (as defined below). The ChEF Purchase Agreement terminated in December 2025. As part of the expiration, the remainder of the Commitment Fee, pursuant to the purchase agreement, of $891 is due and payable to Chardan Capital Markets. This amount was expensed in fiscal year ending December 31, 2025 and remains accrued in current liabilities, specifically ‘Accrued payroll and other liabilities’, on the balance sheet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1063" w:name="pp_001"/>
      <w:bookmarkEnd w:id="1063"/>
      <w:r>
        <w:rPr>
          <w:rFonts w:ascii="Times New Roman;Times;Serif" w:hAnsi="Times New Roman;Times;Serif"/>
          <w:b/>
          <w:i w:val="false"/>
          <w:caps w:val="false"/>
          <w:smallCaps w:val="false"/>
          <w:sz w:val="20"/>
        </w:rPr>
        <w:t>ITEM 3. QUANTITATIVE AND QUALITATIVE DISCLOSURES ABOUT MARKET RISK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64" w:name="pp_002"/>
      <w:bookmarkEnd w:id="1064"/>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our reports under the Exchange Act, and the rules and regulations thereunder,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13a-15(b) under the Exchange Act, our management, under the supervision and with the participation of our principal executive officer and principal financial officer, has evaluated the effectiveness of the design and implementation of our disclosure controls and procedures (as such term is defined in Rules 13a-15(e) and 15d-15(e) under the Exchange Act) as of June 30, 2026. Based on that evaluation, management concluded that as of June 30, 2026, we did maintain effective disclosure controls and procedures.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changes in our internal control over financial reporting (as defined by Rules 13a-15(f) and 15d-15(f) under the Exchange Act) occurred during the quarter ended June 30, 2026, that has materially affected, or is reasonably likely to materially affect, our internal control over financial reporting.</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65" w:name="pp_003"/>
      <w:bookmarkEnd w:id="1065"/>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66" w:name="pp_004"/>
      <w:bookmarkEnd w:id="1066"/>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Item 3. Legal Proceedings” in our Annual Report on Form 10-K for the year ended December 31, 2025 filed with the SEC on March 30, 2026 (the “Annual Report”) and “Item 1. Legal Proceedings” in our Quarterly Report on Form 10-Q for the quarter ended March 31, 2026 filed with the SEC on May 14, 2026 include a discussion of our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set forth below, there have been no material updates to the legal proceedings previously disclosed in our Annual Report and our Quarterly Report for the quarter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Trade Libel Lawsuit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 2026, we filed a complaint against William Errol Prowse IV and Prowse Publications LLC in the Second Judicial District Court of the State of Nevada, Washoe County, Case No. CV26-01604. The defendants were served on June 3 and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allege that the defendants engaged in a wide-ranging campaign to harm us through intentionally false, misleading, and disparaging statements regarding alleged defects in certain “Battle Born” branded 100 amp-hour 12V LiFePo4 batteries.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complaint asserts causes of action for trade libel, unfair competition in violation of the Nevada Deceptive Trade Practices Act, and intentional interference with economic advantage, and seeks damages, injunctive relief, punitive damages, and attorneys’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we filed an amended complaint, incorporating additional statements made by defendants since the original filing. On July 23, 2026, defendants filed an answer to the amended complaint.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67" w:name="pp_005"/>
      <w:bookmarkEnd w:id="1067"/>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the other information set forth in this report, you should carefully consider the factors discussed in Part I, “Item 1A. Risk Factors” in our Annual Report which could materially affect our business, financial condition or future results. The risks described in our Annual Report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material changes to the risk factors previously disclosed in our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68" w:name="pp_006"/>
      <w:bookmarkEnd w:id="1068"/>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69" w:name="pp_007"/>
      <w:bookmarkEnd w:id="1069"/>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70" w:name="pp_008"/>
      <w:bookmarkEnd w:id="1070"/>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71" w:name="pp_009"/>
      <w:bookmarkEnd w:id="1071"/>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ind w:left="0" w:right="0" w:hanging="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2" w:type="dxa"/>
            <w:tcBorders/>
            <w:vAlign w:val="center"/>
          </w:tcPr>
          <w:p>
            <w:pPr>
              <w:pStyle w:val="TableContents"/>
              <w:bidi w:val="0"/>
              <w:spacing w:before="0" w:after="283"/>
              <w:ind w:left="0" w:right="0" w:hanging="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r>
        <w:trPr/>
        <w:tc>
          <w:tcPr>
            <w:tcW w:w="213" w:type="dxa"/>
            <w:tcBorders/>
            <w:vAlign w:val="center"/>
          </w:tcPr>
          <w:p>
            <w:pPr>
              <w:pStyle w:val="TableContents"/>
              <w:bidi w:val="0"/>
              <w:spacing w:before="0" w:after="283"/>
              <w:ind w:left="0" w:right="0" w:hanging="200"/>
              <w:jc w:val="both"/>
              <w:rPr>
                <w:caps w:val="false"/>
                <w:smallCaps w:val="false"/>
              </w:rPr>
            </w:pPr>
            <w:r>
              <w:rPr>
                <w:caps w:val="false"/>
                <w:smallCaps w:val="false"/>
              </w:rPr>
              <w:t> </w:t>
            </w:r>
          </w:p>
        </w:tc>
        <w:tc>
          <w:tcPr>
            <w:tcW w:w="9992" w:type="dxa"/>
            <w:tcBorders/>
            <w:vAlign w:val="center"/>
          </w:tcPr>
          <w:p>
            <w:pPr>
              <w:pStyle w:val="TableContents"/>
              <w:bidi w:val="0"/>
              <w:spacing w:before="0" w:after="283"/>
              <w:ind w:left="0" w:right="0" w:hanging="200"/>
              <w:jc w:val="both"/>
              <w:rPr>
                <w:caps w:val="false"/>
                <w:smallCaps w:val="false"/>
              </w:rPr>
            </w:pPr>
            <w:r>
              <w:rPr>
                <w:caps w:val="false"/>
                <w:smallCaps w:val="false"/>
              </w:rPr>
              <w:t> </w:t>
            </w:r>
          </w:p>
        </w:tc>
      </w:tr>
      <w:tr>
        <w:trPr/>
        <w:tc>
          <w:tcPr>
            <w:tcW w:w="213" w:type="dxa"/>
            <w:tcBorders/>
            <w:vAlign w:val="center"/>
          </w:tcPr>
          <w:p>
            <w:pPr>
              <w:pStyle w:val="TableContents"/>
              <w:bidi w:val="0"/>
              <w:spacing w:before="0" w:after="283"/>
              <w:ind w:left="0" w:right="0" w:hanging="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2" w:type="dxa"/>
            <w:tcBorders/>
            <w:vAlign w:val="center"/>
          </w:tcPr>
          <w:p>
            <w:pPr>
              <w:pStyle w:val="TableContents"/>
              <w:bidi w:val="0"/>
              <w:spacing w:before="0" w:after="283"/>
              <w:ind w:left="0" w:right="0" w:hanging="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r>
        <w:trPr/>
        <w:tc>
          <w:tcPr>
            <w:tcW w:w="213" w:type="dxa"/>
            <w:tcBorders/>
            <w:vAlign w:val="center"/>
          </w:tcPr>
          <w:p>
            <w:pPr>
              <w:pStyle w:val="TableContents"/>
              <w:bidi w:val="0"/>
              <w:spacing w:before="0" w:after="283"/>
              <w:ind w:left="0" w:right="0" w:hanging="200"/>
              <w:jc w:val="both"/>
              <w:rPr>
                <w:caps w:val="false"/>
                <w:smallCaps w:val="false"/>
              </w:rPr>
            </w:pPr>
            <w:r>
              <w:rPr>
                <w:caps w:val="false"/>
                <w:smallCaps w:val="false"/>
              </w:rPr>
              <w:t> </w:t>
            </w:r>
          </w:p>
        </w:tc>
        <w:tc>
          <w:tcPr>
            <w:tcW w:w="99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quarter ended June 30, 2026, none of our directors or “officers” (as defined in Rule 16a-1(f) under the Exchange Act) </w:t>
            </w:r>
            <w:bookmarkStart w:id="1072" w:name="xdx_907_eecd--NonRule10b51ArrAdoptedFlag"/>
            <w:bookmarkStart w:id="1073" w:name="xdx_90C_eecd--Rule10b51ArrAdoptedFlag_db"/>
            <w:bookmarkEnd w:id="1072"/>
            <w:bookmarkEnd w:id="1073"/>
            <w:r>
              <w:rPr>
                <w:rFonts w:ascii="Times New Roman;Times;Serif" w:hAnsi="Times New Roman;Times;Serif"/>
                <w:b w:val="false"/>
                <w:i w:val="false"/>
                <w:caps w:val="false"/>
                <w:smallCaps w:val="false"/>
                <w:sz w:val="20"/>
              </w:rPr>
              <w:t xml:space="preserve">adopted or </w:t>
            </w:r>
            <w:bookmarkStart w:id="1074" w:name="xdx_905_eecd--NonRule10b51ArrTrmntdFlag_"/>
            <w:bookmarkStart w:id="1075" w:name="xdx_908_eecd--Rule10b51ArrTrmntdFlag_dbF"/>
            <w:bookmarkEnd w:id="1074"/>
            <w:bookmarkEnd w:id="1075"/>
            <w:r>
              <w:rPr>
                <w:rFonts w:ascii="Times New Roman;Times;Serif" w:hAnsi="Times New Roman;Times;Serif"/>
                <w:b w:val="false"/>
                <w:i w:val="false"/>
                <w:caps w:val="false"/>
                <w:smallCaps w:val="false"/>
                <w:sz w:val="20"/>
              </w:rPr>
              <w:t>terminated any “Rule 10b5-1 trading arrangement” or “non-Rule 10b5-1 trading arrangement,” as each term is defined in Item 408(c) of Regulation S-K.</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76" w:name="pp_010"/>
      <w:bookmarkEnd w:id="1076"/>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8"/>
        <w:gridCol w:w="60"/>
        <w:gridCol w:w="7353"/>
        <w:gridCol w:w="60"/>
        <w:gridCol w:w="506"/>
        <w:gridCol w:w="60"/>
        <w:gridCol w:w="658"/>
        <w:gridCol w:w="60"/>
        <w:gridCol w:w="690"/>
      </w:tblGrid>
      <w:tr>
        <w:trPr/>
        <w:tc>
          <w:tcPr>
            <w:tcW w:w="75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5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74"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tc>
      </w:tr>
      <w:tr>
        <w:trPr/>
        <w:tc>
          <w:tcPr>
            <w:tcW w:w="75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5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Articles of Incorporation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Certificate of Amendment to the Articles of Incorporation of Dragonfly Energy Holdings Corp., dated November 29, 2023.</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11/29/2023</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Amendment to the Articles of Incorporation of Dragonfly Energy Holdings Corp., as filed with the Secretary of State of the State of Nevada, dated November 19, 2024.</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11/22/2024</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Certificate of Amendment to the Articles of Incorporation of Dragonfly Energy Holdings Corp., dated April 25,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04/28/2025</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Certificate of Amendment to the Articles of Incorporation of Dragonfly Energy Holdings Corp., as filed with the Secretary of State of the State of Nevada, dated December 15,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12/18/2025</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Certificate of Designation of the Powers, Preferences and Relative, Participating, Optional and Other Restrictions of Series A Convertible Preferred Stock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02/27/2025</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Certificate of Designation of the Powers, Preferences and Relative, Participating, Optional and Other Restrictions of Series B Convertible Preferred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11/04/2025</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Certificate of Amendment to the Articles of Incorporation, as amended, of Dragonfly Energy Holdings Corp., as filed with the Secretary of State of the State of Nevada, dated June 5, 2026.</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06/08/2026</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shd w:fill="FFFFFF" w:val="clear"/>
                </w:rPr>
                <w:t>Certificate, Amendment or Withdrawal of Designation, relating to the Series A Convertible Preferred Stock, as filed with the Secretary of State of Nevada, dated June 5, 2026.</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06/08/2026</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Bylaws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Asset Purchase Agreement, dated July 31, 2026, by and among Dragonfly Energy Holdings Corp., Dragonfly Energy Corp. and Clean Liquidation,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07/31/2026</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Form of Securities Receipt Agreement between Dragonfly Energy Holdings Corp. and the recipients listed on the signature pages thereto.</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07/31/2026</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Seventh Amendment to Term Loan, Guarantee and Security Agreement, dated as of July 31, 2026, by and among Dragonfly Energy Holdings Corp., Dragonfly Energy Corp., Battle Born Battery Products, LLC, the lenders from time to time party thereto and Alter Domus (US)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07/31/2026</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and 15(d)-14(a), as adopted Pursuant to Section 302 of the Sarbanes-Oxley Act of 2002.</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and 15(d)-14(a), as adopted Pursuant to Section 302 of the Sarbanes-Oxley Act of 2002.</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Labels Linkbase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 and included as Exhibit 101).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0"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w:t>
            </w:r>
          </w:p>
        </w:tc>
      </w:tr>
      <w:tr>
        <w:trPr/>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 have been omitted pursuant to Item 601(a)(5) of Regulation S-K. A copy of any omitted schedule and/or exhibit will be furnished to the Securities and Exchange Commission upon request.</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77" w:name="pp_011"/>
      <w:bookmarkEnd w:id="1077"/>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8475" w:type="dxa"/>
        <w:jc w:val="left"/>
        <w:tblInd w:w="0" w:type="dxa"/>
        <w:tblLayout w:type="fixed"/>
        <w:tblCellMar>
          <w:top w:w="0" w:type="dxa"/>
          <w:left w:w="0" w:type="dxa"/>
          <w:bottom w:w="0" w:type="dxa"/>
          <w:right w:w="0" w:type="dxa"/>
        </w:tblCellMar>
      </w:tblPr>
      <w:tblGrid>
        <w:gridCol w:w="1865"/>
        <w:gridCol w:w="365"/>
        <w:gridCol w:w="6245"/>
      </w:tblGrid>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661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62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624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Interim Chief Financial Officer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1078" w:name="ex31-1.htm"/>
      <w:bookmarkStart w:id="1079" w:name="ksex311"/>
      <w:bookmarkEnd w:id="1078"/>
      <w:bookmarkEnd w:id="107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Denis Phares,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period ended June 30, 2026 of Dragonfly Energy Holdings Corp.;</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75"/>
        <w:gridCol w:w="2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1080" w:name="ex31-2.htm"/>
      <w:bookmarkStart w:id="1081" w:name="ksex312"/>
      <w:bookmarkEnd w:id="1080"/>
      <w:bookmarkEnd w:id="108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Denis Phares,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period ended June 30, 2026 of Dragonfly Energy Holdings Corp.;</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75"/>
        <w:gridCol w:w="3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082" w:name="ex32-1.htm"/>
      <w:bookmarkStart w:id="1083" w:name="ksex321"/>
      <w:bookmarkEnd w:id="1082"/>
      <w:bookmarkEnd w:id="108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Quarterly Report on Form 10-Q of Dragonfly Energy Holdings Corp.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 the quarter ended June 30, 2026 (the “</w:t>
      </w:r>
      <w:r>
        <w:rPr>
          <w:rFonts w:ascii="Times New Roman;Times;Serif" w:hAnsi="Times New Roman;Times;Serif"/>
          <w:b/>
          <w:i w:val="false"/>
          <w:caps w:val="false"/>
          <w:smallCaps w:val="false"/>
          <w:sz w:val="20"/>
        </w:rPr>
        <w:t>Quarterly Report</w:t>
      </w:r>
      <w:r>
        <w:rPr>
          <w:rFonts w:ascii="Times New Roman;Times;Serif" w:hAnsi="Times New Roman;Times;Serif"/>
          <w:b w:val="false"/>
          <w:i w:val="false"/>
          <w:caps w:val="false"/>
          <w:smallCaps w:val="false"/>
          <w:sz w:val="20"/>
        </w:rPr>
        <w:t>”), Denis Phares, as Chief Executive Officer and Interim Chief Financial Officer, certifies in his capacity as such officer of the Company, that to his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Quarterly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Quarterly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290"/>
        <w:gridCol w:w="4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18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14,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18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w:t>
            </w:r>
          </w:p>
        </w:tc>
        <w:tc>
          <w:tcPr>
            <w:tcW w:w="4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Interim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shall not be deemed “filed” for any purpose, nor shall it be deemed to be incorporated by reference into any filing under the Securities Act of 1933 or the Exchange Act.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7986/000149315223010262/ex3-1.htm" TargetMode="External"/><Relationship Id="rId3" Type="http://schemas.openxmlformats.org/officeDocument/2006/relationships/hyperlink" Target="https://www.sec.gov/Archives/edgar/data/1847986/000149315223043109/ex3-1.htm" TargetMode="External"/><Relationship Id="rId4" Type="http://schemas.openxmlformats.org/officeDocument/2006/relationships/hyperlink" Target="https://www.sec.gov/Archives/edgar/data/1847986/000149315224047295/ex3-1.htm" TargetMode="External"/><Relationship Id="rId5" Type="http://schemas.openxmlformats.org/officeDocument/2006/relationships/hyperlink" Target="https://www.sec.gov/Archives/edgar/data/1847986/000164117225006463/ex3-1.htm" TargetMode="External"/><Relationship Id="rId6" Type="http://schemas.openxmlformats.org/officeDocument/2006/relationships/hyperlink" Target="https://www.sec.gov/Archives/edgar/data/1847986/000149315225028282/ex3-1.htm" TargetMode="External"/><Relationship Id="rId7" Type="http://schemas.openxmlformats.org/officeDocument/2006/relationships/hyperlink" Target="https://www.sec.gov/Archives/edgar/data/1847986/000149315225008445/ex3-1.htm" TargetMode="External"/><Relationship Id="rId8" Type="http://schemas.openxmlformats.org/officeDocument/2006/relationships/hyperlink" Target="https://www.sec.gov/Archives/edgar/data/1847986/000149315225020907/ex3-1.htm" TargetMode="External"/><Relationship Id="rId9" Type="http://schemas.openxmlformats.org/officeDocument/2006/relationships/hyperlink" Target="https://www.sec.gov/Archives/edgar/data/1847986/000149315226027716/ex3-1.htm" TargetMode="External"/><Relationship Id="rId10" Type="http://schemas.openxmlformats.org/officeDocument/2006/relationships/hyperlink" Target="https://www.sec.gov/Archives/edgar/data/1847986/000149315226027716/ex3-2.htm" TargetMode="External"/><Relationship Id="rId11" Type="http://schemas.openxmlformats.org/officeDocument/2006/relationships/hyperlink" Target="https://www.sec.gov/Archives/edgar/data/1847986/000149315223010262/ex3-2.htm" TargetMode="External"/><Relationship Id="rId12" Type="http://schemas.openxmlformats.org/officeDocument/2006/relationships/hyperlink" Target="https://www.sec.gov/Archives/edgar/data/1847986/000149315226035543/ex10-1.htm" TargetMode="External"/><Relationship Id="rId13" Type="http://schemas.openxmlformats.org/officeDocument/2006/relationships/hyperlink" Target="https://www.sec.gov/Archives/edgar/data/1847986/000149315226035543/ex10-2.htm" TargetMode="External"/><Relationship Id="rId14" Type="http://schemas.openxmlformats.org/officeDocument/2006/relationships/hyperlink" Target="https://www.sec.gov/Archives/edgar/data/1847986/000149315226035543/ex10-3.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31742</Words>
  <Characters>170102</Characters>
  <CharactersWithSpaces>205588</CharactersWithSpaces>
  <Paragraphs>10785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