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82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August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0820"/>
            <w:bookmarkEnd w:id="6"/>
            <w:r>
              <w:rPr>
                <w:rFonts w:ascii="Times New Roman;Times;Serif" w:hAnsi="Times New Roman;Times;Serif"/>
                <w:b/>
                <w:i w:val="false"/>
                <w:caps w:val="false"/>
                <w:smallCaps w:val="false"/>
                <w:sz w:val="20"/>
              </w:rPr>
              <w:t>001-40730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8" w:name="xdx_903_edei--EntityAddressAddressLine1_"/>
            <w:bookmarkEnd w:id="8"/>
            <w:r>
              <w:rPr>
                <w:rFonts w:ascii="Times New Roman;Times;Serif" w:hAnsi="Times New Roman;Times;Serif"/>
                <w:b/>
                <w:i w:val="false"/>
                <w:caps w:val="false"/>
                <w:smallCaps w:val="false"/>
                <w:sz w:val="20"/>
                <w:shd w:fill="FFFFFF" w:val="clear"/>
              </w:rPr>
              <w:t>12915 Old Virginia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E_edei--EntityAddressCityOrTown_c2"/>
            <w:bookmarkEnd w:id="9"/>
            <w:r>
              <w:rPr>
                <w:rFonts w:ascii="Times New Roman;Times;Serif" w:hAnsi="Times New Roman;Times;Serif"/>
                <w:b/>
                <w:i w:val="false"/>
                <w:caps w:val="false"/>
                <w:smallCaps w:val="false"/>
                <w:sz w:val="20"/>
              </w:rPr>
              <w:t xml:space="preserve">Reno, </w:t>
            </w:r>
            <w:bookmarkStart w:id="10" w:name="xdx_903_edei--EntityAddressStateOrProvin"/>
            <w:bookmarkEnd w:id="10"/>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F_edei--EntityAddressPostalZipCode"/>
            <w:bookmarkEnd w:id="11"/>
            <w:r>
              <w:rPr>
                <w:rFonts w:ascii="Times New Roman;Times;Serif" w:hAnsi="Times New Roman;Times;Serif"/>
                <w:b/>
                <w:i w:val="false"/>
                <w:caps w:val="false"/>
                <w:smallCaps w:val="false"/>
                <w:sz w:val="20"/>
              </w:rPr>
              <w:t>89521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F_edei--CityAreaCode_c20260820__20"/>
      <w:bookmarkEnd w:id="12"/>
      <w:r>
        <w:rPr>
          <w:rFonts w:ascii="Times New Roman;Times;Serif" w:hAnsi="Times New Roman;Times;Serif"/>
          <w:b/>
          <w:i w:val="false"/>
          <w:caps w:val="false"/>
          <w:smallCaps w:val="false"/>
          <w:sz w:val="20"/>
          <w:u w:val="single"/>
        </w:rPr>
        <w:t xml:space="preserve">(775) </w:t>
      </w:r>
      <w:bookmarkStart w:id="13" w:name="xdx_90A_edei--LocalPhoneNumber_c20260820"/>
      <w:bookmarkEnd w:id="13"/>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C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F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E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E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4265"/>
        <w:gridCol w:w="60"/>
        <w:gridCol w:w="1535"/>
        <w:gridCol w:w="60"/>
        <w:gridCol w:w="3590"/>
      </w:tblGrid>
      <w:tr>
        <w:trPr/>
        <w:tc>
          <w:tcPr>
            <w:tcW w:w="42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D_edei--Security12bTitle_c20260820"/>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TradingSymbol_c20260820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E_edei--SecurityExchangeName_c2026"/>
            <w:bookmarkEnd w:id="20"/>
            <w:r>
              <w:rPr>
                <w:rFonts w:ascii="Times New Roman;Times;Serif" w:hAnsi="Times New Roman;Times;Serif"/>
                <w:b w:val="false"/>
                <w:i w:val="false"/>
                <w:caps w:val="false"/>
                <w:smallCaps w:val="false"/>
                <w:sz w:val="20"/>
              </w:rPr>
              <w:t>Nasdaq Capital Market</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12bTitle_c20260820"/>
            <w:bookmarkEnd w:id="21"/>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5_edei--TradingSymbol_c20260820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2_edei--SecurityExchangeName_c2026"/>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F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3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920"/>
        <w:gridCol w:w="8285"/>
      </w:tblGrid>
      <w:tr>
        <w:trPr/>
        <w:tc>
          <w:tcPr>
            <w:tcW w:w="9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3.01. </w:t>
            </w:r>
          </w:p>
        </w:tc>
        <w:tc>
          <w:tcPr>
            <w:tcW w:w="82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Delisting or Failure to Satisfy a Continued Listing Rule or Standard; Transfer of Listing.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Dragonfly Energy Holdings Corp. (the “Company”) received a letter (the “Letter”) from the Listing Qualifications Department of The Nasdaq Stock Market LLC (“Nasdaq”) indicating that the Company was not in compliance with the minimum stockholders’ equity requirement for continued listing on the Nasdaq Capital Market, under Listing Rule 5550(b)(1), because the Company’s stockholders’ equity (deficit) of $(184,000) as reported in the Company’s Quarterly Report on Form 10-Q for the period ended June 30, 2026 was below the required minimum of $2.5 million, and because, as of August 20, 2026, the Company did not meet the alternative compliance standards relating to the market value of listed securities of $35 million or net income from continuing operations of $500,000 in the most recently completed fiscal year or in two of the last three most recently completed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 has no immediate impact on the listing of the Company’s common stock or warrants, which will continue to be listed and traded on Nasdaq, subject to the Company’s compliance with the other continued listing requirements. The Company has 45 calendar days from August 20, 2026, or until October 5, 2026, to submit to Nasdaq a plan to regain compliance with Listing Rule 5550(b)(1). If Nasdaq accepts the Company’s plan, Nasdaq may grant an extension of up to 180 calendar days from August 20, 2026, or until February 16, 2027, to regain compliance. If Nasdaq does not accept the Company’s plan, the Company will have the right to appeal such decision to a Nasdaq hearings panel.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submit to Nasdaq, within the requisite time period, a plan to regain compliance with Listing Rule 5550(b)(1). There can be no assurance that Nasdaq will accept the Company’s plan or that the Company will be able to regain compliance with Listing Rule 5550(b)(1) or maintain compliance with any other Nasdaq requirement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by filing this Form 8-K, discloses its receipt of the notification from Nasdaq in accordance with Listing Rule 5810(b).</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8190" w:type="dxa"/>
        <w:jc w:val="left"/>
        <w:tblInd w:w="0" w:type="dxa"/>
        <w:tblLayout w:type="fixed"/>
        <w:tblCellMar>
          <w:top w:w="0" w:type="dxa"/>
          <w:left w:w="0" w:type="dxa"/>
          <w:bottom w:w="0" w:type="dxa"/>
          <w:right w:w="0" w:type="dxa"/>
        </w:tblCellMar>
      </w:tblPr>
      <w:tblGrid>
        <w:gridCol w:w="1970"/>
        <w:gridCol w:w="545"/>
        <w:gridCol w:w="5675"/>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62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721</Words>
  <Characters>3875</Characters>
  <CharactersWithSpaces>4593</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